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黑体" w:hAnsi="黑体" w:eastAsia="黑体"/>
          <w:kern w:val="0"/>
          <w:sz w:val="32"/>
          <w:szCs w:val="32"/>
          <w:highlight w:val="none"/>
          <w:u w:val="single"/>
          <w:lang w:eastAsia="zh-CN"/>
        </w:rPr>
      </w:pPr>
      <w:r>
        <w:rPr>
          <w:rFonts w:hint="eastAsia" w:ascii="黑体" w:hAnsi="黑体" w:eastAsia="黑体"/>
          <w:kern w:val="0"/>
          <w:sz w:val="32"/>
          <w:szCs w:val="32"/>
          <w:highlight w:val="none"/>
          <w:u w:val="single"/>
          <w:lang w:eastAsia="zh-CN"/>
        </w:rPr>
        <w:t>鹤庆县金墩乡金翅河民居建筑群保护修缮项目—22号院</w:t>
      </w:r>
    </w:p>
    <w:p>
      <w:pPr>
        <w:adjustRightInd w:val="0"/>
        <w:snapToGrid w:val="0"/>
        <w:spacing w:line="360" w:lineRule="auto"/>
        <w:jc w:val="center"/>
        <w:rPr>
          <w:rFonts w:hint="eastAsia" w:ascii="黑体" w:hAnsi="黑体" w:eastAsia="黑体"/>
          <w:kern w:val="0"/>
          <w:sz w:val="32"/>
          <w:szCs w:val="32"/>
          <w:highlight w:val="none"/>
          <w:lang w:eastAsia="zh-CN"/>
        </w:rPr>
      </w:pPr>
      <w:r>
        <w:rPr>
          <w:rFonts w:hint="eastAsia" w:ascii="黑体" w:hAnsi="黑体" w:eastAsia="黑体"/>
          <w:kern w:val="0"/>
          <w:sz w:val="32"/>
          <w:szCs w:val="32"/>
          <w:highlight w:val="none"/>
        </w:rPr>
        <w:t>施工</w:t>
      </w:r>
      <w:r>
        <w:rPr>
          <w:rFonts w:ascii="黑体" w:hAnsi="黑体" w:eastAsia="黑体"/>
          <w:kern w:val="0"/>
          <w:sz w:val="32"/>
          <w:szCs w:val="32"/>
          <w:highlight w:val="none"/>
        </w:rPr>
        <w:t>招标</w:t>
      </w:r>
      <w:r>
        <w:rPr>
          <w:rFonts w:hint="eastAsia" w:ascii="黑体" w:hAnsi="黑体" w:eastAsia="黑体"/>
          <w:kern w:val="0"/>
          <w:sz w:val="32"/>
          <w:szCs w:val="32"/>
          <w:highlight w:val="none"/>
          <w:lang w:val="en-US" w:eastAsia="zh-CN"/>
        </w:rPr>
        <w:t>投标邀请书</w:t>
      </w:r>
    </w:p>
    <w:p>
      <w:pPr>
        <w:adjustRightInd w:val="0"/>
        <w:snapToGrid w:val="0"/>
        <w:spacing w:line="360" w:lineRule="auto"/>
        <w:jc w:val="left"/>
        <w:rPr>
          <w:rFonts w:ascii="宋体" w:hAnsi="宋体"/>
          <w:b/>
          <w:sz w:val="32"/>
          <w:szCs w:val="32"/>
          <w:highlight w:val="none"/>
        </w:rPr>
      </w:pPr>
      <w:r>
        <w:rPr>
          <w:rFonts w:ascii="宋体" w:hAnsi="宋体"/>
          <w:b/>
          <w:sz w:val="32"/>
          <w:szCs w:val="32"/>
          <w:highlight w:val="none"/>
        </w:rPr>
        <w:t>1.招标条件</w:t>
      </w:r>
    </w:p>
    <w:p>
      <w:pPr>
        <w:adjustRightInd w:val="0"/>
        <w:snapToGrid w:val="0"/>
        <w:spacing w:line="360" w:lineRule="auto"/>
        <w:ind w:firstLine="420" w:firstLineChars="200"/>
        <w:jc w:val="left"/>
        <w:rPr>
          <w:rFonts w:ascii="宋体" w:hAnsi="宋体"/>
          <w:kern w:val="0"/>
          <w:szCs w:val="21"/>
          <w:highlight w:val="none"/>
        </w:rPr>
      </w:pPr>
      <w:r>
        <w:rPr>
          <w:rFonts w:ascii="宋体" w:hAnsi="宋体"/>
          <w:kern w:val="0"/>
          <w:szCs w:val="21"/>
          <w:highlight w:val="none"/>
        </w:rPr>
        <w:t>本招标项目</w:t>
      </w:r>
      <w:r>
        <w:rPr>
          <w:rFonts w:hint="eastAsia" w:ascii="宋体" w:hAnsi="宋体"/>
          <w:kern w:val="0"/>
          <w:szCs w:val="21"/>
          <w:highlight w:val="none"/>
          <w:u w:val="single"/>
          <w:lang w:eastAsia="zh-CN"/>
        </w:rPr>
        <w:t>鹤庆县金墩乡金翅河民居建筑群保护修缮项目—22号院</w:t>
      </w:r>
      <w:r>
        <w:rPr>
          <w:rFonts w:ascii="宋体" w:hAnsi="宋体"/>
          <w:kern w:val="0"/>
          <w:szCs w:val="21"/>
          <w:highlight w:val="none"/>
        </w:rPr>
        <w:t>已由</w:t>
      </w:r>
      <w:r>
        <w:rPr>
          <w:rFonts w:hint="eastAsia" w:ascii="宋体" w:hAnsi="宋体"/>
          <w:kern w:val="0"/>
          <w:szCs w:val="21"/>
          <w:highlight w:val="none"/>
          <w:u w:val="single"/>
        </w:rPr>
        <w:t>鹤庆县发展和改革局</w:t>
      </w:r>
      <w:r>
        <w:rPr>
          <w:rFonts w:ascii="宋体" w:hAnsi="宋体"/>
          <w:kern w:val="0"/>
          <w:szCs w:val="21"/>
          <w:highlight w:val="none"/>
        </w:rPr>
        <w:t>以</w:t>
      </w:r>
      <w:r>
        <w:rPr>
          <w:rFonts w:hint="eastAsia" w:ascii="宋体" w:hAnsi="宋体"/>
          <w:kern w:val="0"/>
          <w:szCs w:val="21"/>
          <w:highlight w:val="none"/>
          <w:u w:val="single"/>
          <w:lang w:eastAsia="zh-CN"/>
        </w:rPr>
        <w:t>鹤发改投资〔2022〕153 号</w:t>
      </w:r>
      <w:r>
        <w:rPr>
          <w:rFonts w:ascii="宋体" w:hAnsi="宋体"/>
          <w:kern w:val="0"/>
          <w:szCs w:val="21"/>
          <w:highlight w:val="none"/>
        </w:rPr>
        <w:t>批准建设，项目业主为</w:t>
      </w:r>
      <w:r>
        <w:rPr>
          <w:rFonts w:hint="eastAsia" w:ascii="宋体" w:hAnsi="宋体"/>
          <w:kern w:val="0"/>
          <w:szCs w:val="21"/>
          <w:highlight w:val="none"/>
          <w:u w:val="single"/>
        </w:rPr>
        <w:t>鹤庆县金墩乡人民政府</w:t>
      </w:r>
      <w:r>
        <w:rPr>
          <w:rFonts w:ascii="宋体" w:hAnsi="宋体"/>
          <w:kern w:val="0"/>
          <w:szCs w:val="21"/>
          <w:highlight w:val="none"/>
        </w:rPr>
        <w:t>，建设资金来自</w:t>
      </w:r>
      <w:r>
        <w:rPr>
          <w:rFonts w:hint="eastAsia" w:ascii="宋体" w:hAnsi="宋体"/>
          <w:kern w:val="0"/>
          <w:szCs w:val="21"/>
          <w:highlight w:val="none"/>
          <w:u w:val="single"/>
        </w:rPr>
        <w:t>上级补助</w:t>
      </w:r>
      <w:r>
        <w:rPr>
          <w:rFonts w:ascii="宋体" w:hAnsi="宋体"/>
          <w:kern w:val="0"/>
          <w:szCs w:val="21"/>
          <w:highlight w:val="none"/>
        </w:rPr>
        <w:t>，</w:t>
      </w:r>
      <w:r>
        <w:rPr>
          <w:rFonts w:hint="eastAsia" w:ascii="宋体" w:hAnsi="宋体"/>
          <w:kern w:val="0"/>
          <w:szCs w:val="21"/>
          <w:highlight w:val="none"/>
        </w:rPr>
        <w:t>资金落实情况：已落实</w:t>
      </w:r>
      <w:r>
        <w:rPr>
          <w:rFonts w:ascii="宋体" w:hAnsi="宋体"/>
          <w:kern w:val="0"/>
          <w:szCs w:val="21"/>
          <w:highlight w:val="none"/>
        </w:rPr>
        <w:t>，招标人为</w:t>
      </w:r>
      <w:r>
        <w:rPr>
          <w:rFonts w:hint="eastAsia" w:ascii="宋体" w:hAnsi="宋体"/>
          <w:kern w:val="0"/>
          <w:szCs w:val="21"/>
          <w:highlight w:val="none"/>
          <w:u w:val="single"/>
        </w:rPr>
        <w:t>鹤庆县金墩乡人民政府</w:t>
      </w:r>
      <w:r>
        <w:rPr>
          <w:rFonts w:ascii="宋体" w:hAnsi="宋体"/>
          <w:kern w:val="0"/>
          <w:szCs w:val="21"/>
          <w:highlight w:val="none"/>
        </w:rPr>
        <w:t>。</w:t>
      </w:r>
      <w:r>
        <w:rPr>
          <w:rFonts w:hint="eastAsia" w:ascii="宋体" w:hAnsi="宋体"/>
          <w:kern w:val="0"/>
          <w:sz w:val="21"/>
          <w:szCs w:val="21"/>
          <w:highlight w:val="none"/>
        </w:rPr>
        <w:t>项目已具备招标条件，现邀请你单位参加该项目施工投标。</w:t>
      </w:r>
    </w:p>
    <w:p>
      <w:pPr>
        <w:adjustRightInd w:val="0"/>
        <w:snapToGrid w:val="0"/>
        <w:spacing w:line="360" w:lineRule="auto"/>
        <w:jc w:val="left"/>
        <w:rPr>
          <w:rFonts w:ascii="宋体" w:hAnsi="宋体"/>
          <w:b/>
          <w:sz w:val="32"/>
          <w:szCs w:val="32"/>
          <w:highlight w:val="none"/>
        </w:rPr>
      </w:pPr>
      <w:r>
        <w:rPr>
          <w:rFonts w:ascii="宋体" w:hAnsi="宋体"/>
          <w:b/>
          <w:sz w:val="32"/>
          <w:szCs w:val="32"/>
          <w:highlight w:val="none"/>
        </w:rPr>
        <w:t>2.项目概况</w:t>
      </w:r>
    </w:p>
    <w:p>
      <w:p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2.1 项目建设地点：</w:t>
      </w:r>
      <w:r>
        <w:rPr>
          <w:rFonts w:hint="eastAsia" w:ascii="宋体" w:hAnsi="宋体"/>
          <w:kern w:val="0"/>
          <w:szCs w:val="21"/>
          <w:highlight w:val="none"/>
          <w:u w:val="single"/>
        </w:rPr>
        <w:t>鹤庆县金墩乡银河村委会金翅河村</w:t>
      </w:r>
      <w:r>
        <w:rPr>
          <w:rFonts w:hint="eastAsia" w:ascii="宋体" w:hAnsi="宋体"/>
          <w:kern w:val="0"/>
          <w:szCs w:val="21"/>
          <w:highlight w:val="none"/>
        </w:rPr>
        <w:t>。</w:t>
      </w:r>
    </w:p>
    <w:p>
      <w:p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2.2 计划工期：</w:t>
      </w:r>
      <w:r>
        <w:rPr>
          <w:rFonts w:hint="eastAsia" w:ascii="宋体" w:hAnsi="宋体"/>
          <w:kern w:val="0"/>
          <w:szCs w:val="21"/>
          <w:highlight w:val="none"/>
          <w:u w:val="single"/>
          <w:lang w:val="en-US" w:eastAsia="zh-CN"/>
        </w:rPr>
        <w:t>180日历天</w:t>
      </w:r>
      <w:r>
        <w:rPr>
          <w:rFonts w:hint="eastAsia" w:ascii="宋体" w:hAnsi="宋体"/>
          <w:kern w:val="0"/>
          <w:szCs w:val="21"/>
          <w:highlight w:val="none"/>
        </w:rPr>
        <w:t>。</w:t>
      </w:r>
    </w:p>
    <w:p>
      <w:p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2.3 质量要求：</w:t>
      </w:r>
      <w:r>
        <w:rPr>
          <w:rFonts w:hint="eastAsia" w:ascii="宋体" w:hAnsi="宋体"/>
          <w:kern w:val="0"/>
          <w:szCs w:val="21"/>
          <w:highlight w:val="none"/>
          <w:u w:val="single"/>
        </w:rPr>
        <w:t>符合设计要求，达到国家现行验收标准，一次验收合格</w:t>
      </w:r>
      <w:r>
        <w:rPr>
          <w:rFonts w:hint="eastAsia" w:ascii="宋体" w:hAnsi="宋体"/>
          <w:kern w:val="0"/>
          <w:szCs w:val="21"/>
          <w:highlight w:val="none"/>
        </w:rPr>
        <w:t>。</w:t>
      </w:r>
    </w:p>
    <w:p>
      <w:pPr>
        <w:adjustRightInd w:val="0"/>
        <w:snapToGrid w:val="0"/>
        <w:spacing w:line="360" w:lineRule="auto"/>
        <w:jc w:val="left"/>
        <w:rPr>
          <w:rFonts w:ascii="宋体" w:hAnsi="宋体"/>
          <w:b/>
          <w:sz w:val="32"/>
          <w:szCs w:val="32"/>
          <w:highlight w:val="none"/>
        </w:rPr>
      </w:pPr>
      <w:r>
        <w:rPr>
          <w:rFonts w:ascii="宋体" w:hAnsi="宋体"/>
          <w:b/>
          <w:sz w:val="32"/>
          <w:szCs w:val="32"/>
          <w:highlight w:val="none"/>
        </w:rPr>
        <w:t>3.招标范围</w:t>
      </w:r>
      <w:r>
        <w:rPr>
          <w:rFonts w:hint="eastAsia" w:ascii="宋体" w:hAnsi="宋体"/>
          <w:b/>
          <w:sz w:val="32"/>
          <w:szCs w:val="32"/>
          <w:highlight w:val="none"/>
        </w:rPr>
        <w:t>及招标规模</w:t>
      </w:r>
    </w:p>
    <w:p>
      <w:pPr>
        <w:adjustRightInd w:val="0"/>
        <w:snapToGrid w:val="0"/>
        <w:spacing w:line="360" w:lineRule="auto"/>
        <w:ind w:firstLine="420" w:firstLineChars="200"/>
        <w:jc w:val="left"/>
        <w:rPr>
          <w:rFonts w:ascii="宋体" w:hAnsi="宋体"/>
          <w:kern w:val="0"/>
          <w:highlight w:val="none"/>
        </w:rPr>
      </w:pPr>
      <w:r>
        <w:rPr>
          <w:rFonts w:hint="eastAsia" w:ascii="宋体" w:hAnsi="宋体"/>
          <w:kern w:val="0"/>
          <w:szCs w:val="21"/>
          <w:highlight w:val="none"/>
        </w:rPr>
        <w:t>招标范围：</w:t>
      </w:r>
      <w:r>
        <w:rPr>
          <w:rFonts w:hint="eastAsia" w:ascii="宋体" w:hAnsi="宋体"/>
          <w:kern w:val="0"/>
          <w:szCs w:val="21"/>
          <w:highlight w:val="none"/>
          <w:u w:val="single"/>
        </w:rPr>
        <w:t>施工图纸及工程量清单所示内容</w:t>
      </w:r>
      <w:r>
        <w:rPr>
          <w:rFonts w:hint="eastAsia" w:ascii="宋体" w:hAnsi="宋体"/>
          <w:kern w:val="0"/>
          <w:szCs w:val="21"/>
          <w:highlight w:val="none"/>
        </w:rPr>
        <w:t>。</w:t>
      </w:r>
    </w:p>
    <w:p>
      <w:p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招标规模：</w:t>
      </w:r>
      <w:r>
        <w:rPr>
          <w:rFonts w:hint="eastAsia" w:ascii="宋体" w:hAnsi="宋体"/>
          <w:kern w:val="0"/>
          <w:szCs w:val="21"/>
          <w:highlight w:val="none"/>
          <w:u w:val="single"/>
        </w:rPr>
        <w:t>对鹤庆县金墩乡金翅河民居建筑群保护修缮</w:t>
      </w:r>
      <w:r>
        <w:rPr>
          <w:rFonts w:hint="eastAsia" w:ascii="宋体" w:hAnsi="宋体"/>
          <w:kern w:val="0"/>
          <w:szCs w:val="21"/>
          <w:highlight w:val="none"/>
          <w:u w:val="single"/>
          <w:lang w:eastAsia="zh-CN"/>
        </w:rPr>
        <w:t>—</w:t>
      </w:r>
      <w:r>
        <w:rPr>
          <w:rFonts w:hint="eastAsia" w:ascii="宋体" w:hAnsi="宋体"/>
          <w:kern w:val="0"/>
          <w:szCs w:val="21"/>
          <w:highlight w:val="none"/>
          <w:u w:val="single"/>
        </w:rPr>
        <w:t>2</w:t>
      </w:r>
      <w:r>
        <w:rPr>
          <w:rFonts w:hint="eastAsia" w:ascii="宋体" w:hAnsi="宋体"/>
          <w:kern w:val="0"/>
          <w:szCs w:val="21"/>
          <w:highlight w:val="none"/>
          <w:u w:val="single"/>
          <w:lang w:val="en-US" w:eastAsia="zh-CN"/>
        </w:rPr>
        <w:t>2</w:t>
      </w:r>
      <w:r>
        <w:rPr>
          <w:rFonts w:hint="eastAsia" w:ascii="宋体" w:hAnsi="宋体"/>
          <w:kern w:val="0"/>
          <w:szCs w:val="21"/>
          <w:highlight w:val="none"/>
          <w:u w:val="single"/>
        </w:rPr>
        <w:t>号院：正房修缮157.77m2；面房修缮138.75m2；北厢房修缮121.31m2；正房北耳房修缮56.95m2； 面房耳房修缮46.07m2；附属用房修缮44.02m2,；天井修缮86.57m2。</w:t>
      </w:r>
    </w:p>
    <w:p>
      <w:pPr>
        <w:adjustRightInd w:val="0"/>
        <w:snapToGrid w:val="0"/>
        <w:spacing w:line="360" w:lineRule="auto"/>
        <w:jc w:val="left"/>
        <w:rPr>
          <w:rFonts w:ascii="宋体" w:hAnsi="宋体"/>
          <w:b/>
          <w:sz w:val="32"/>
          <w:szCs w:val="32"/>
          <w:highlight w:val="none"/>
        </w:rPr>
      </w:pPr>
      <w:r>
        <w:rPr>
          <w:rFonts w:hint="eastAsia" w:ascii="宋体" w:hAnsi="宋体"/>
          <w:b/>
          <w:sz w:val="32"/>
          <w:szCs w:val="32"/>
          <w:highlight w:val="none"/>
        </w:rPr>
        <w:t>4</w:t>
      </w:r>
      <w:r>
        <w:rPr>
          <w:rFonts w:ascii="宋体" w:hAnsi="宋体"/>
          <w:b/>
          <w:sz w:val="32"/>
          <w:szCs w:val="32"/>
          <w:highlight w:val="none"/>
        </w:rPr>
        <w:t>.投标人资格要求</w:t>
      </w:r>
    </w:p>
    <w:p>
      <w:pPr>
        <w:adjustRightInd w:val="0"/>
        <w:snapToGrid w:val="0"/>
        <w:spacing w:line="360" w:lineRule="auto"/>
        <w:ind w:firstLine="420" w:firstLineChars="200"/>
        <w:jc w:val="left"/>
        <w:rPr>
          <w:rFonts w:ascii="宋体" w:hAnsi="宋体"/>
          <w:kern w:val="0"/>
          <w:highlight w:val="none"/>
        </w:rPr>
      </w:pPr>
      <w:r>
        <w:rPr>
          <w:rFonts w:hint="eastAsia" w:ascii="宋体" w:hAnsi="宋体"/>
          <w:kern w:val="0"/>
          <w:highlight w:val="none"/>
        </w:rPr>
        <w:t>投标人必须是在中国境内合法注册企业、具有独立法人资格的单位；</w:t>
      </w:r>
    </w:p>
    <w:p>
      <w:pPr>
        <w:adjustRightInd w:val="0"/>
        <w:snapToGrid w:val="0"/>
        <w:spacing w:line="360" w:lineRule="auto"/>
        <w:ind w:firstLine="420" w:firstLineChars="200"/>
        <w:jc w:val="left"/>
        <w:rPr>
          <w:rFonts w:hint="eastAsia" w:ascii="宋体" w:hAnsi="宋体"/>
          <w:kern w:val="0"/>
          <w:highlight w:val="none"/>
        </w:rPr>
      </w:pPr>
      <w:r>
        <w:rPr>
          <w:rFonts w:hint="eastAsia" w:ascii="宋体" w:hAnsi="宋体"/>
          <w:kern w:val="0"/>
          <w:highlight w:val="none"/>
        </w:rPr>
        <w:t>详细资质要求：</w:t>
      </w:r>
      <w:r>
        <w:rPr>
          <w:rFonts w:hint="eastAsia" w:ascii="宋体" w:hAnsi="宋体"/>
          <w:kern w:val="0"/>
          <w:highlight w:val="none"/>
          <w:u w:val="single"/>
        </w:rPr>
        <w:t>(1)本次招标要求投标人须在中华人民共和国境内依法成立，具有独立法人资格和独立承担民事责任能力，并须具备国家文物局颁发的文物保护工程施工</w:t>
      </w:r>
      <w:r>
        <w:rPr>
          <w:rFonts w:hint="eastAsia" w:ascii="宋体" w:hAnsi="宋体"/>
          <w:kern w:val="0"/>
          <w:highlight w:val="none"/>
          <w:u w:val="single"/>
          <w:lang w:val="en-US" w:eastAsia="zh-CN"/>
        </w:rPr>
        <w:t>二</w:t>
      </w:r>
      <w:r>
        <w:rPr>
          <w:rFonts w:hint="eastAsia" w:ascii="宋体" w:hAnsi="宋体"/>
          <w:kern w:val="0"/>
          <w:highlight w:val="none"/>
          <w:u w:val="single"/>
        </w:rPr>
        <w:t>级资质及建设行政主管部门颁发的</w:t>
      </w:r>
      <w:r>
        <w:rPr>
          <w:rFonts w:hint="eastAsia" w:ascii="宋体" w:hAnsi="宋体"/>
          <w:kern w:val="0"/>
          <w:highlight w:val="none"/>
          <w:u w:val="single"/>
          <w:lang w:eastAsia="zh-CN"/>
        </w:rPr>
        <w:t>古建筑工程专业承包二级资质</w:t>
      </w:r>
      <w:r>
        <w:rPr>
          <w:rFonts w:hint="eastAsia" w:ascii="宋体" w:hAnsi="宋体"/>
          <w:kern w:val="0"/>
          <w:highlight w:val="none"/>
          <w:u w:val="single"/>
          <w:lang w:val="en-US" w:eastAsia="zh-CN"/>
        </w:rPr>
        <w:t>且</w:t>
      </w:r>
      <w:r>
        <w:rPr>
          <w:rFonts w:hint="eastAsia" w:ascii="宋体" w:hAnsi="宋体"/>
          <w:kern w:val="0"/>
          <w:highlight w:val="none"/>
          <w:u w:val="single"/>
        </w:rPr>
        <w:t>具备有效安全生产许可证</w:t>
      </w:r>
      <w:r>
        <w:rPr>
          <w:rFonts w:hint="eastAsia" w:ascii="宋体" w:hAnsi="宋体"/>
          <w:kern w:val="0"/>
          <w:highlight w:val="none"/>
        </w:rPr>
        <w:t>；</w:t>
      </w:r>
    </w:p>
    <w:p>
      <w:pPr>
        <w:adjustRightInd w:val="0"/>
        <w:snapToGrid w:val="0"/>
        <w:spacing w:line="360" w:lineRule="auto"/>
        <w:ind w:firstLine="420" w:firstLineChars="200"/>
        <w:jc w:val="left"/>
        <w:rPr>
          <w:rFonts w:hint="eastAsia" w:ascii="宋体" w:hAnsi="宋体"/>
          <w:kern w:val="0"/>
          <w:highlight w:val="none"/>
        </w:rPr>
      </w:pPr>
      <w:r>
        <w:rPr>
          <w:rFonts w:hint="eastAsia" w:ascii="宋体" w:hAnsi="宋体"/>
          <w:kern w:val="0"/>
          <w:highlight w:val="none"/>
        </w:rPr>
        <w:t>当前未被建设行政主管部门取消投标资格；</w:t>
      </w:r>
    </w:p>
    <w:p>
      <w:p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highlight w:val="none"/>
        </w:rPr>
        <w:t>投标人应具备承担本项目施工的资质条件、能力和信誉</w:t>
      </w:r>
      <w:r>
        <w:rPr>
          <w:rFonts w:ascii="宋体" w:hAnsi="宋体"/>
          <w:kern w:val="0"/>
          <w:szCs w:val="21"/>
          <w:highlight w:val="none"/>
        </w:rPr>
        <w:t>资质条件</w:t>
      </w:r>
      <w:r>
        <w:rPr>
          <w:rFonts w:hint="eastAsia" w:ascii="宋体" w:hAnsi="宋体"/>
          <w:kern w:val="0"/>
          <w:szCs w:val="21"/>
          <w:highlight w:val="none"/>
        </w:rPr>
        <w:t>。</w:t>
      </w:r>
    </w:p>
    <w:p>
      <w:pPr>
        <w:adjustRightInd w:val="0"/>
        <w:snapToGrid w:val="0"/>
        <w:spacing w:line="360" w:lineRule="auto"/>
        <w:ind w:firstLine="420" w:firstLineChars="200"/>
        <w:jc w:val="left"/>
        <w:rPr>
          <w:rFonts w:ascii="宋体" w:hAnsi="宋体"/>
          <w:kern w:val="0"/>
          <w:szCs w:val="21"/>
          <w:highlight w:val="none"/>
          <w:u w:val="single"/>
        </w:rPr>
      </w:pPr>
      <w:r>
        <w:rPr>
          <w:rFonts w:hint="eastAsia" w:ascii="宋体" w:hAnsi="宋体"/>
          <w:kern w:val="0"/>
          <w:szCs w:val="21"/>
          <w:highlight w:val="none"/>
        </w:rPr>
        <w:t>项目负责人资格要求：</w:t>
      </w:r>
      <w:r>
        <w:rPr>
          <w:rFonts w:hint="eastAsia" w:ascii="宋体" w:hAnsi="宋体"/>
          <w:kern w:val="0"/>
          <w:szCs w:val="21"/>
          <w:highlight w:val="none"/>
          <w:u w:val="single"/>
          <w:lang w:eastAsia="zh-CN"/>
        </w:rPr>
        <w:t>具备建筑工程专业二级及以上注册建造师资格且</w:t>
      </w:r>
      <w:r>
        <w:rPr>
          <w:rFonts w:hint="eastAsia" w:ascii="宋体" w:hAnsi="宋体"/>
          <w:kern w:val="0"/>
          <w:szCs w:val="21"/>
          <w:highlight w:val="none"/>
          <w:u w:val="single"/>
        </w:rPr>
        <w:t>未担任其他任何在建工程的项目负责人（项目负责人需为投标人本单位在册人员，</w:t>
      </w:r>
      <w:r>
        <w:rPr>
          <w:rFonts w:hint="eastAsia" w:ascii="宋体" w:hAnsi="宋体"/>
          <w:kern w:val="0"/>
          <w:szCs w:val="21"/>
          <w:highlight w:val="none"/>
          <w:u w:val="single"/>
          <w:lang w:val="en-US" w:eastAsia="zh-CN"/>
        </w:rPr>
        <w:t>需</w:t>
      </w:r>
      <w:r>
        <w:rPr>
          <w:rFonts w:hint="eastAsia" w:ascii="宋体" w:hAnsi="宋体"/>
          <w:kern w:val="0"/>
          <w:szCs w:val="21"/>
          <w:highlight w:val="none"/>
          <w:u w:val="single"/>
        </w:rPr>
        <w:t>提供报名截止前六个月的社保证明</w:t>
      </w:r>
      <w:r>
        <w:rPr>
          <w:rFonts w:hint="eastAsia" w:ascii="宋体" w:hAnsi="宋体"/>
          <w:kern w:val="0"/>
          <w:szCs w:val="21"/>
          <w:highlight w:val="none"/>
          <w:u w:val="single"/>
          <w:lang w:val="en-US" w:eastAsia="zh-CN"/>
        </w:rPr>
        <w:t>材料</w:t>
      </w:r>
      <w:r>
        <w:rPr>
          <w:rFonts w:hint="eastAsia" w:ascii="宋体" w:hAnsi="宋体"/>
          <w:kern w:val="0"/>
          <w:szCs w:val="21"/>
          <w:highlight w:val="none"/>
          <w:u w:val="single"/>
        </w:rPr>
        <w:t>及劳动合同）；拟派项目负责人具备有效的安全生产考核合格证书</w:t>
      </w:r>
      <w:r>
        <w:rPr>
          <w:rFonts w:hint="eastAsia" w:ascii="宋体" w:hAnsi="宋体"/>
          <w:kern w:val="0"/>
          <w:szCs w:val="21"/>
          <w:highlight w:val="none"/>
          <w:u w:val="single"/>
          <w:lang w:eastAsia="zh-CN"/>
        </w:rPr>
        <w:t>；</w:t>
      </w:r>
      <w:r>
        <w:rPr>
          <w:rFonts w:hint="eastAsia" w:ascii="宋体" w:hAnsi="宋体"/>
          <w:kern w:val="0"/>
          <w:szCs w:val="21"/>
          <w:highlight w:val="none"/>
          <w:u w:val="single"/>
        </w:rPr>
        <w:t>。</w:t>
      </w:r>
    </w:p>
    <w:p>
      <w:pPr>
        <w:adjustRightInd w:val="0"/>
        <w:snapToGrid w:val="0"/>
        <w:spacing w:line="360" w:lineRule="auto"/>
        <w:ind w:firstLine="420" w:firstLineChars="200"/>
        <w:jc w:val="left"/>
        <w:rPr>
          <w:rFonts w:ascii="宋体" w:hAnsi="宋体"/>
          <w:kern w:val="0"/>
          <w:szCs w:val="21"/>
          <w:highlight w:val="none"/>
          <w:u w:val="single"/>
        </w:rPr>
      </w:pPr>
      <w:r>
        <w:rPr>
          <w:rFonts w:hint="eastAsia" w:ascii="宋体" w:hAnsi="宋体"/>
          <w:kern w:val="0"/>
          <w:szCs w:val="21"/>
          <w:highlight w:val="none"/>
        </w:rPr>
        <w:t>技术负责人：</w:t>
      </w:r>
      <w:r>
        <w:rPr>
          <w:rFonts w:hint="eastAsia" w:ascii="宋体" w:hAnsi="宋体"/>
          <w:kern w:val="0"/>
          <w:szCs w:val="21"/>
          <w:highlight w:val="none"/>
          <w:u w:val="single"/>
        </w:rPr>
        <w:t>具备工程类中级及以上职称（技术负责人需为投标人本单位在册人员，</w:t>
      </w:r>
      <w:r>
        <w:rPr>
          <w:rFonts w:hint="eastAsia" w:ascii="宋体" w:hAnsi="宋体"/>
          <w:kern w:val="0"/>
          <w:szCs w:val="21"/>
          <w:highlight w:val="none"/>
          <w:u w:val="single"/>
          <w:lang w:val="en-US" w:eastAsia="zh-CN"/>
        </w:rPr>
        <w:t>需</w:t>
      </w:r>
      <w:r>
        <w:rPr>
          <w:rFonts w:hint="eastAsia" w:ascii="宋体" w:hAnsi="宋体"/>
          <w:kern w:val="0"/>
          <w:szCs w:val="21"/>
          <w:highlight w:val="none"/>
          <w:u w:val="single"/>
        </w:rPr>
        <w:t>提供前</w:t>
      </w:r>
      <w:r>
        <w:rPr>
          <w:rFonts w:hint="eastAsia" w:ascii="宋体" w:hAnsi="宋体"/>
          <w:kern w:val="0"/>
          <w:szCs w:val="21"/>
          <w:highlight w:val="none"/>
          <w:u w:val="single"/>
          <w:lang w:val="en-US" w:eastAsia="zh-CN"/>
        </w:rPr>
        <w:t>三</w:t>
      </w:r>
      <w:r>
        <w:rPr>
          <w:rFonts w:hint="eastAsia" w:ascii="宋体" w:hAnsi="宋体"/>
          <w:kern w:val="0"/>
          <w:szCs w:val="21"/>
          <w:highlight w:val="none"/>
          <w:u w:val="single"/>
        </w:rPr>
        <w:t>个月的社保证明</w:t>
      </w:r>
      <w:r>
        <w:rPr>
          <w:rFonts w:hint="eastAsia" w:ascii="宋体" w:hAnsi="宋体"/>
          <w:kern w:val="0"/>
          <w:szCs w:val="21"/>
          <w:highlight w:val="none"/>
          <w:u w:val="single"/>
          <w:lang w:val="en-US" w:eastAsia="zh-CN"/>
        </w:rPr>
        <w:t>材料及</w:t>
      </w:r>
      <w:r>
        <w:rPr>
          <w:rFonts w:hint="eastAsia" w:ascii="宋体" w:hAnsi="宋体"/>
          <w:kern w:val="0"/>
          <w:szCs w:val="21"/>
          <w:highlight w:val="none"/>
          <w:u w:val="single"/>
        </w:rPr>
        <w:t>劳动合同</w:t>
      </w:r>
      <w:r>
        <w:rPr>
          <w:rFonts w:hint="eastAsia" w:ascii="宋体" w:hAnsi="宋体"/>
          <w:kern w:val="0"/>
          <w:szCs w:val="21"/>
          <w:highlight w:val="none"/>
          <w:u w:val="single"/>
          <w:lang w:eastAsia="zh-CN"/>
        </w:rPr>
        <w:t>）</w:t>
      </w:r>
      <w:r>
        <w:rPr>
          <w:rFonts w:hint="eastAsia" w:ascii="宋体" w:hAnsi="宋体"/>
          <w:kern w:val="0"/>
          <w:szCs w:val="21"/>
          <w:highlight w:val="none"/>
          <w:u w:val="single"/>
        </w:rPr>
        <w:t>；</w:t>
      </w:r>
    </w:p>
    <w:p>
      <w:p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财务要求：</w:t>
      </w:r>
      <w:r>
        <w:rPr>
          <w:rFonts w:hint="eastAsia" w:ascii="宋体" w:hAnsi="宋体"/>
          <w:kern w:val="0"/>
          <w:szCs w:val="21"/>
          <w:highlight w:val="none"/>
          <w:u w:val="single"/>
          <w:lang w:val="en-US" w:eastAsia="zh-CN"/>
        </w:rPr>
        <w:t>提供最近三年（</w:t>
      </w:r>
      <w:r>
        <w:rPr>
          <w:rFonts w:hint="eastAsia" w:ascii="宋体" w:hAnsi="宋体"/>
          <w:kern w:val="0"/>
          <w:szCs w:val="21"/>
          <w:highlight w:val="none"/>
          <w:u w:val="single"/>
        </w:rPr>
        <w:t>2018年至2020年</w:t>
      </w:r>
      <w:r>
        <w:rPr>
          <w:rFonts w:hint="eastAsia" w:ascii="宋体" w:hAnsi="宋体"/>
          <w:kern w:val="0"/>
          <w:szCs w:val="21"/>
          <w:highlight w:val="none"/>
          <w:u w:val="single"/>
          <w:lang w:val="en-US" w:eastAsia="zh-CN"/>
        </w:rPr>
        <w:t>或</w:t>
      </w:r>
      <w:r>
        <w:rPr>
          <w:rFonts w:hint="eastAsia" w:ascii="宋体" w:hAnsi="宋体"/>
          <w:kern w:val="0"/>
          <w:szCs w:val="21"/>
          <w:highlight w:val="none"/>
          <w:u w:val="single"/>
        </w:rPr>
        <w:t>201</w:t>
      </w:r>
      <w:r>
        <w:rPr>
          <w:rFonts w:hint="eastAsia" w:ascii="宋体" w:hAnsi="宋体"/>
          <w:kern w:val="0"/>
          <w:szCs w:val="21"/>
          <w:highlight w:val="none"/>
          <w:u w:val="single"/>
          <w:lang w:val="en-US" w:eastAsia="zh-CN"/>
        </w:rPr>
        <w:t>9</w:t>
      </w:r>
      <w:r>
        <w:rPr>
          <w:rFonts w:hint="eastAsia" w:ascii="宋体" w:hAnsi="宋体"/>
          <w:kern w:val="0"/>
          <w:szCs w:val="21"/>
          <w:highlight w:val="none"/>
          <w:u w:val="single"/>
        </w:rPr>
        <w:t>年至202</w:t>
      </w:r>
      <w:r>
        <w:rPr>
          <w:rFonts w:hint="eastAsia" w:ascii="宋体" w:hAnsi="宋体"/>
          <w:kern w:val="0"/>
          <w:szCs w:val="21"/>
          <w:highlight w:val="none"/>
          <w:u w:val="single"/>
          <w:lang w:val="en-US" w:eastAsia="zh-CN"/>
        </w:rPr>
        <w:t>1</w:t>
      </w:r>
      <w:r>
        <w:rPr>
          <w:rFonts w:hint="eastAsia" w:ascii="宋体" w:hAnsi="宋体"/>
          <w:kern w:val="0"/>
          <w:szCs w:val="21"/>
          <w:highlight w:val="none"/>
          <w:u w:val="single"/>
        </w:rPr>
        <w:t>年</w:t>
      </w:r>
      <w:r>
        <w:rPr>
          <w:rFonts w:hint="eastAsia" w:ascii="宋体" w:hAnsi="宋体"/>
          <w:kern w:val="0"/>
          <w:szCs w:val="21"/>
          <w:highlight w:val="none"/>
          <w:u w:val="single"/>
          <w:lang w:val="en-US" w:eastAsia="zh-CN"/>
        </w:rPr>
        <w:t>）</w:t>
      </w:r>
      <w:r>
        <w:rPr>
          <w:rFonts w:hint="eastAsia" w:ascii="宋体" w:hAnsi="宋体"/>
          <w:kern w:val="0"/>
          <w:szCs w:val="21"/>
          <w:highlight w:val="none"/>
          <w:u w:val="single"/>
        </w:rPr>
        <w:t>度经会计师事务所或审计机构审计的审计报告【注：公司成立未满3年的，提交公司注册之日至今即可；2021年01月01日后成立的公司，此项不考核】</w:t>
      </w:r>
      <w:r>
        <w:rPr>
          <w:rFonts w:hint="eastAsia" w:ascii="宋体" w:hAnsi="宋体"/>
          <w:kern w:val="0"/>
          <w:szCs w:val="21"/>
          <w:highlight w:val="none"/>
        </w:rPr>
        <w:t>。</w:t>
      </w:r>
    </w:p>
    <w:p>
      <w:pPr>
        <w:adjustRightInd w:val="0"/>
        <w:snapToGrid w:val="0"/>
        <w:spacing w:line="360" w:lineRule="auto"/>
        <w:ind w:firstLine="420" w:firstLineChars="200"/>
        <w:jc w:val="left"/>
        <w:rPr>
          <w:rFonts w:ascii="宋体" w:hAnsi="宋体"/>
          <w:kern w:val="0"/>
          <w:szCs w:val="21"/>
          <w:highlight w:val="none"/>
          <w:u w:val="single"/>
        </w:rPr>
      </w:pPr>
      <w:r>
        <w:rPr>
          <w:rFonts w:hint="eastAsia" w:ascii="宋体" w:hAnsi="宋体"/>
          <w:kern w:val="0"/>
          <w:szCs w:val="21"/>
          <w:highlight w:val="none"/>
        </w:rPr>
        <w:t>企业业绩要求：</w:t>
      </w:r>
      <w:r>
        <w:rPr>
          <w:rFonts w:hint="eastAsia" w:ascii="宋体" w:hAnsi="宋体"/>
          <w:kern w:val="0"/>
          <w:szCs w:val="21"/>
          <w:highlight w:val="none"/>
          <w:u w:val="single"/>
        </w:rPr>
        <w:t>201</w:t>
      </w:r>
      <w:r>
        <w:rPr>
          <w:rFonts w:hint="eastAsia" w:ascii="宋体" w:hAnsi="宋体"/>
          <w:kern w:val="0"/>
          <w:szCs w:val="21"/>
          <w:highlight w:val="none"/>
          <w:u w:val="single"/>
          <w:lang w:val="en-US" w:eastAsia="zh-CN"/>
        </w:rPr>
        <w:t>9</w:t>
      </w:r>
      <w:r>
        <w:rPr>
          <w:rFonts w:hint="eastAsia" w:ascii="宋体" w:hAnsi="宋体"/>
          <w:kern w:val="0"/>
          <w:szCs w:val="21"/>
          <w:highlight w:val="none"/>
          <w:u w:val="single"/>
        </w:rPr>
        <w:t>年1月至投标截止时间至少有1项类似项目业绩</w:t>
      </w:r>
      <w:r>
        <w:rPr>
          <w:rFonts w:hint="eastAsia" w:ascii="宋体" w:hAnsi="宋体"/>
          <w:kern w:val="0"/>
          <w:szCs w:val="21"/>
          <w:highlight w:val="none"/>
          <w:u w:val="single"/>
          <w:lang w:eastAsia="zh-CN"/>
        </w:rPr>
        <w:t>，</w:t>
      </w:r>
      <w:r>
        <w:rPr>
          <w:rFonts w:ascii="宋体" w:hAnsi="宋体"/>
          <w:kern w:val="0"/>
          <w:szCs w:val="21"/>
          <w:highlight w:val="none"/>
          <w:u w:val="single"/>
        </w:rPr>
        <w:t>类似项目业绩是</w:t>
      </w:r>
      <w:r>
        <w:rPr>
          <w:rFonts w:hint="eastAsia" w:ascii="宋体" w:hAnsi="宋体"/>
          <w:kern w:val="0"/>
          <w:szCs w:val="21"/>
          <w:highlight w:val="none"/>
          <w:u w:val="single"/>
          <w:lang w:eastAsia="zh-CN"/>
        </w:rPr>
        <w:t>指单项合同建筑面积需达到400平方米或者项目总投资在180万以上的古建筑项目业绩</w:t>
      </w:r>
      <w:r>
        <w:rPr>
          <w:rFonts w:hint="eastAsia" w:ascii="宋体" w:hAnsi="宋体"/>
          <w:kern w:val="0"/>
          <w:szCs w:val="21"/>
          <w:highlight w:val="none"/>
          <w:u w:val="single"/>
        </w:rPr>
        <w:t>（以工程竣工验收时间为准）。需提供中标通知书或合同协议书和工程竣工验收证明等相关证明材料</w:t>
      </w:r>
      <w:r>
        <w:rPr>
          <w:rFonts w:hint="eastAsia" w:ascii="宋体" w:hAnsi="宋体"/>
          <w:kern w:val="0"/>
          <w:szCs w:val="21"/>
          <w:highlight w:val="none"/>
        </w:rPr>
        <w:t>。</w:t>
      </w:r>
    </w:p>
    <w:p>
      <w:p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项目负责人业绩要求：</w:t>
      </w:r>
      <w:r>
        <w:rPr>
          <w:rFonts w:hint="eastAsia" w:ascii="宋体" w:hAnsi="宋体"/>
          <w:kern w:val="0"/>
          <w:szCs w:val="21"/>
          <w:highlight w:val="none"/>
          <w:u w:val="single"/>
        </w:rPr>
        <w:t>201</w:t>
      </w:r>
      <w:r>
        <w:rPr>
          <w:rFonts w:hint="eastAsia" w:ascii="宋体" w:hAnsi="宋体"/>
          <w:kern w:val="0"/>
          <w:szCs w:val="21"/>
          <w:highlight w:val="none"/>
          <w:u w:val="single"/>
          <w:lang w:val="en-US" w:eastAsia="zh-CN"/>
        </w:rPr>
        <w:t>9</w:t>
      </w:r>
      <w:r>
        <w:rPr>
          <w:rFonts w:hint="eastAsia" w:ascii="宋体" w:hAnsi="宋体"/>
          <w:kern w:val="0"/>
          <w:szCs w:val="21"/>
          <w:highlight w:val="none"/>
          <w:u w:val="single"/>
        </w:rPr>
        <w:t>年1月至投标截止时间至少有1项类似项目业绩</w:t>
      </w:r>
      <w:r>
        <w:rPr>
          <w:rFonts w:hint="eastAsia" w:ascii="宋体" w:hAnsi="宋体"/>
          <w:kern w:val="0"/>
          <w:szCs w:val="21"/>
          <w:highlight w:val="none"/>
          <w:u w:val="single"/>
          <w:lang w:eastAsia="zh-CN"/>
        </w:rPr>
        <w:t>，</w:t>
      </w:r>
      <w:r>
        <w:rPr>
          <w:rFonts w:ascii="宋体" w:hAnsi="宋体"/>
          <w:kern w:val="0"/>
          <w:szCs w:val="21"/>
          <w:highlight w:val="none"/>
          <w:u w:val="single"/>
        </w:rPr>
        <w:t>类似项目业绩是</w:t>
      </w:r>
      <w:r>
        <w:rPr>
          <w:rFonts w:hint="eastAsia" w:ascii="宋体" w:hAnsi="宋体"/>
          <w:kern w:val="0"/>
          <w:szCs w:val="21"/>
          <w:highlight w:val="none"/>
          <w:u w:val="single"/>
          <w:lang w:eastAsia="zh-CN"/>
        </w:rPr>
        <w:t>指单项合同建筑面积需达到400平方米或者项目总投资在180万以上的古建筑项目业绩</w:t>
      </w:r>
      <w:r>
        <w:rPr>
          <w:rFonts w:hint="eastAsia" w:ascii="宋体" w:hAnsi="宋体"/>
          <w:kern w:val="0"/>
          <w:szCs w:val="21"/>
          <w:highlight w:val="none"/>
          <w:u w:val="single"/>
        </w:rPr>
        <w:t>（以工程竣工验收时间为准）。需提供中标通知书或合同协议书和工程竣工验收证明等相关证明材料</w:t>
      </w:r>
      <w:r>
        <w:rPr>
          <w:rFonts w:hint="eastAsia" w:ascii="宋体" w:hAnsi="宋体"/>
          <w:kern w:val="0"/>
          <w:szCs w:val="21"/>
          <w:highlight w:val="none"/>
          <w:u w:val="single"/>
          <w:lang w:eastAsia="zh-CN"/>
        </w:rPr>
        <w:t>（</w:t>
      </w:r>
      <w:r>
        <w:rPr>
          <w:rFonts w:hint="eastAsia" w:ascii="宋体" w:hAnsi="宋体"/>
          <w:kern w:val="0"/>
          <w:szCs w:val="21"/>
          <w:highlight w:val="none"/>
          <w:u w:val="single"/>
          <w:lang w:val="en-US" w:eastAsia="zh-CN"/>
        </w:rPr>
        <w:t>证明材料需能体现项目负责人信息否则视为无效证明材料</w:t>
      </w:r>
      <w:r>
        <w:rPr>
          <w:rFonts w:hint="eastAsia" w:ascii="宋体" w:hAnsi="宋体"/>
          <w:kern w:val="0"/>
          <w:szCs w:val="21"/>
          <w:highlight w:val="none"/>
          <w:u w:val="single"/>
          <w:lang w:eastAsia="zh-CN"/>
        </w:rPr>
        <w:t>）</w:t>
      </w:r>
      <w:r>
        <w:rPr>
          <w:rFonts w:hint="eastAsia" w:ascii="宋体" w:hAnsi="宋体"/>
          <w:kern w:val="0"/>
          <w:szCs w:val="21"/>
          <w:highlight w:val="none"/>
        </w:rPr>
        <w:t>。</w:t>
      </w:r>
    </w:p>
    <w:p>
      <w:p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人员配备要求：配备</w:t>
      </w:r>
      <w:r>
        <w:rPr>
          <w:rFonts w:hint="eastAsia" w:ascii="宋体" w:hAnsi="宋体"/>
          <w:kern w:val="0"/>
          <w:szCs w:val="21"/>
          <w:highlight w:val="none"/>
          <w:lang w:eastAsia="zh-CN"/>
        </w:rPr>
        <w:t>建筑工程施工各专业工种技术人员、资料员、安全员等</w:t>
      </w:r>
      <w:r>
        <w:rPr>
          <w:rFonts w:hint="eastAsia" w:ascii="宋体" w:hAnsi="宋体"/>
          <w:kern w:val="0"/>
          <w:szCs w:val="21"/>
          <w:highlight w:val="none"/>
        </w:rPr>
        <w:t>。</w:t>
      </w:r>
    </w:p>
    <w:p>
      <w:pPr>
        <w:adjustRightInd w:val="0"/>
        <w:snapToGrid w:val="0"/>
        <w:spacing w:line="360" w:lineRule="auto"/>
        <w:ind w:firstLine="420" w:firstLineChars="200"/>
        <w:jc w:val="left"/>
        <w:rPr>
          <w:rFonts w:hint="eastAsia" w:ascii="宋体" w:hAnsi="宋体"/>
          <w:kern w:val="0"/>
          <w:szCs w:val="21"/>
          <w:highlight w:val="none"/>
        </w:rPr>
      </w:pPr>
      <w:r>
        <w:rPr>
          <w:rFonts w:hint="eastAsia" w:ascii="宋体" w:hAnsi="宋体"/>
          <w:kern w:val="0"/>
          <w:szCs w:val="21"/>
          <w:highlight w:val="none"/>
        </w:rPr>
        <w:t>其他要求：</w:t>
      </w:r>
    </w:p>
    <w:p>
      <w:pPr>
        <w:adjustRightInd w:val="0"/>
        <w:snapToGrid w:val="0"/>
        <w:spacing w:line="360" w:lineRule="auto"/>
        <w:ind w:firstLine="420" w:firstLineChars="200"/>
        <w:jc w:val="left"/>
        <w:rPr>
          <w:rFonts w:hint="eastAsia" w:ascii="宋体" w:hAnsi="宋体"/>
          <w:color w:val="000000" w:themeColor="text1"/>
          <w:kern w:val="0"/>
          <w:szCs w:val="21"/>
          <w:highlight w:val="none"/>
          <w:u w:val="single"/>
          <w:lang w:eastAsia="zh-CN"/>
          <w14:textFill>
            <w14:solidFill>
              <w14:schemeClr w14:val="tx1"/>
            </w14:solidFill>
          </w14:textFill>
        </w:rPr>
      </w:pPr>
      <w:r>
        <w:rPr>
          <w:rFonts w:hint="eastAsia" w:ascii="宋体" w:hAnsi="宋体"/>
          <w:kern w:val="0"/>
          <w:szCs w:val="21"/>
          <w:highlight w:val="none"/>
          <w:lang w:val="en-US" w:eastAsia="zh-CN"/>
        </w:rPr>
        <w:t>1</w:t>
      </w:r>
      <w:r>
        <w:rPr>
          <w:rFonts w:hint="eastAsia" w:ascii="宋体" w:hAnsi="宋体"/>
          <w:kern w:val="0"/>
          <w:szCs w:val="21"/>
          <w:highlight w:val="none"/>
          <w:u w:val="single"/>
        </w:rPr>
        <w:t>、信誉要求</w:t>
      </w:r>
      <w:r>
        <w:rPr>
          <w:rFonts w:hint="eastAsia" w:ascii="宋体" w:hAnsi="宋体"/>
          <w:kern w:val="0"/>
          <w:szCs w:val="21"/>
          <w:highlight w:val="none"/>
          <w:u w:val="single"/>
          <w:lang w:val="en-US" w:eastAsia="zh-CN"/>
        </w:rPr>
        <w:t>:</w:t>
      </w:r>
      <w:r>
        <w:rPr>
          <w:rFonts w:ascii="宋体" w:hAnsi="宋体"/>
          <w:color w:val="000000" w:themeColor="text1"/>
          <w:kern w:val="0"/>
          <w:szCs w:val="21"/>
          <w:highlight w:val="none"/>
          <w:u w:val="single"/>
          <w14:textFill>
            <w14:solidFill>
              <w14:schemeClr w14:val="tx1"/>
            </w14:solidFill>
          </w14:textFill>
        </w:rPr>
        <w:fldChar w:fldCharType="begin"/>
      </w:r>
      <w:r>
        <w:rPr>
          <w:rFonts w:ascii="宋体" w:hAnsi="宋体"/>
          <w:color w:val="000000" w:themeColor="text1"/>
          <w:kern w:val="0"/>
          <w:szCs w:val="21"/>
          <w:highlight w:val="none"/>
          <w:u w:val="single"/>
          <w14:textFill>
            <w14:solidFill>
              <w14:schemeClr w14:val="tx1"/>
            </w14:solidFill>
          </w14:textFill>
        </w:rPr>
        <w:instrText xml:space="preserve"> AUTOTEXT  input18 \* MERGEFORMAT </w:instrText>
      </w:r>
      <w:r>
        <w:rPr>
          <w:rFonts w:ascii="宋体" w:hAnsi="宋体"/>
          <w:color w:val="000000" w:themeColor="text1"/>
          <w:kern w:val="0"/>
          <w:szCs w:val="21"/>
          <w:highlight w:val="none"/>
          <w:u w:val="single"/>
          <w14:textFill>
            <w14:solidFill>
              <w14:schemeClr w14:val="tx1"/>
            </w14:solidFill>
          </w14:textFill>
        </w:rPr>
        <w:fldChar w:fldCharType="separate"/>
      </w:r>
      <w:r>
        <w:rPr>
          <w:rFonts w:hint="eastAsia" w:ascii="宋体" w:hAnsi="宋体"/>
          <w:color w:val="000000" w:themeColor="text1"/>
          <w:kern w:val="0"/>
          <w:szCs w:val="21"/>
          <w:highlight w:val="none"/>
          <w:u w:val="single"/>
          <w:lang w:val="en-US" w:eastAsia="zh-CN"/>
          <w14:textFill>
            <w14:solidFill>
              <w14:schemeClr w14:val="tx1"/>
            </w14:solidFill>
          </w14:textFill>
        </w:rPr>
        <w:t>(1)</w:t>
      </w:r>
      <w:r>
        <w:rPr>
          <w:rFonts w:ascii="宋体" w:hAnsi="宋体"/>
          <w:color w:val="000000" w:themeColor="text1"/>
          <w:kern w:val="0"/>
          <w:szCs w:val="21"/>
          <w:highlight w:val="none"/>
          <w:u w:val="single"/>
          <w14:textFill>
            <w14:solidFill>
              <w14:schemeClr w14:val="tx1"/>
            </w14:solidFill>
          </w14:textFill>
        </w:rPr>
        <w:t>近三年内</w:t>
      </w:r>
      <w:r>
        <w:rPr>
          <w:rFonts w:hint="eastAsia" w:ascii="宋体" w:hAnsi="宋体"/>
          <w:color w:val="000000" w:themeColor="text1"/>
          <w:kern w:val="0"/>
          <w:szCs w:val="21"/>
          <w:highlight w:val="none"/>
          <w:u w:val="single"/>
          <w:lang w:val="en-US" w:eastAsia="zh-CN"/>
          <w14:textFill>
            <w14:solidFill>
              <w14:schemeClr w14:val="tx1"/>
            </w14:solidFill>
          </w14:textFill>
        </w:rPr>
        <w:t>,</w:t>
      </w:r>
      <w:r>
        <w:rPr>
          <w:rFonts w:ascii="宋体" w:hAnsi="宋体"/>
          <w:color w:val="000000" w:themeColor="text1"/>
          <w:kern w:val="0"/>
          <w:szCs w:val="21"/>
          <w:highlight w:val="none"/>
          <w:u w:val="single"/>
          <w14:textFill>
            <w14:solidFill>
              <w14:schemeClr w14:val="tx1"/>
            </w14:solidFill>
          </w14:textFill>
        </w:rPr>
        <w:t>在经营活动中没有重大违法记录的书面声明（重大违法记录</w:t>
      </w:r>
      <w:r>
        <w:rPr>
          <w:rFonts w:hint="eastAsia" w:ascii="宋体" w:hAnsi="宋体"/>
          <w:color w:val="000000" w:themeColor="text1"/>
          <w:kern w:val="0"/>
          <w:szCs w:val="21"/>
          <w:highlight w:val="none"/>
          <w:u w:val="single"/>
          <w:lang w:val="en-US" w:eastAsia="zh-CN"/>
          <w14:textFill>
            <w14:solidFill>
              <w14:schemeClr w14:val="tx1"/>
            </w14:solidFill>
          </w14:textFill>
        </w:rPr>
        <w:t>,</w:t>
      </w:r>
      <w:r>
        <w:rPr>
          <w:rFonts w:ascii="宋体" w:hAnsi="宋体"/>
          <w:color w:val="000000" w:themeColor="text1"/>
          <w:kern w:val="0"/>
          <w:szCs w:val="21"/>
          <w:highlight w:val="none"/>
          <w:u w:val="single"/>
          <w14:textFill>
            <w14:solidFill>
              <w14:schemeClr w14:val="tx1"/>
            </w14:solidFill>
          </w14:textFill>
        </w:rPr>
        <w:t>是指投标人因违法经营受到刑事处罚或者责令停产停业、吊销许可证或者执照等行政处罚）。</w:t>
      </w:r>
      <w:r>
        <w:rPr>
          <w:rFonts w:hint="eastAsia" w:ascii="宋体" w:hAnsi="宋体"/>
          <w:color w:val="000000" w:themeColor="text1"/>
          <w:kern w:val="0"/>
          <w:szCs w:val="21"/>
          <w:highlight w:val="none"/>
          <w:u w:val="single"/>
          <w:lang w:val="en-US" w:eastAsia="zh-CN"/>
          <w14:textFill>
            <w14:solidFill>
              <w14:schemeClr w14:val="tx1"/>
            </w14:solidFill>
          </w14:textFill>
        </w:rPr>
        <w:t>(2)</w:t>
      </w:r>
      <w:r>
        <w:rPr>
          <w:rFonts w:ascii="宋体" w:hAnsi="宋体"/>
          <w:color w:val="000000" w:themeColor="text1"/>
          <w:kern w:val="0"/>
          <w:szCs w:val="21"/>
          <w:highlight w:val="none"/>
          <w:u w:val="single"/>
          <w14:textFill>
            <w14:solidFill>
              <w14:schemeClr w14:val="tx1"/>
            </w14:solidFill>
          </w14:textFill>
        </w:rPr>
        <w:t>当前未因不良记录被建设行政主管部门禁止投标，未被列入“信用中国”</w:t>
      </w:r>
      <w:r>
        <w:rPr>
          <w:rFonts w:hint="eastAsia" w:ascii="宋体" w:hAnsi="宋体"/>
          <w:color w:val="000000" w:themeColor="text1"/>
          <w:kern w:val="0"/>
          <w:szCs w:val="21"/>
          <w:highlight w:val="none"/>
          <w:u w:val="single"/>
          <w:lang w:val="en-US" w:eastAsia="zh-CN"/>
          <w14:textFill>
            <w14:solidFill>
              <w14:schemeClr w14:val="tx1"/>
            </w14:solidFill>
          </w14:textFill>
        </w:rPr>
        <w:t>(</w:t>
      </w:r>
      <w:r>
        <w:rPr>
          <w:rFonts w:ascii="宋体" w:hAnsi="宋体"/>
          <w:color w:val="000000" w:themeColor="text1"/>
          <w:kern w:val="0"/>
          <w:szCs w:val="21"/>
          <w:highlight w:val="none"/>
          <w:u w:val="single"/>
          <w14:textFill>
            <w14:solidFill>
              <w14:schemeClr w14:val="tx1"/>
            </w14:solidFill>
          </w14:textFill>
        </w:rPr>
        <w:t>http://creditchina.gov.cn/</w:t>
      </w:r>
      <w:r>
        <w:rPr>
          <w:rFonts w:hint="eastAsia" w:ascii="宋体" w:hAnsi="宋体"/>
          <w:color w:val="000000" w:themeColor="text1"/>
          <w:kern w:val="0"/>
          <w:szCs w:val="21"/>
          <w:highlight w:val="none"/>
          <w:u w:val="single"/>
          <w:lang w:val="en-US" w:eastAsia="zh-CN"/>
          <w14:textFill>
            <w14:solidFill>
              <w14:schemeClr w14:val="tx1"/>
            </w14:solidFill>
          </w14:textFill>
        </w:rPr>
        <w:t>)</w:t>
      </w:r>
      <w:r>
        <w:rPr>
          <w:rFonts w:ascii="宋体" w:hAnsi="宋体"/>
          <w:color w:val="000000" w:themeColor="text1"/>
          <w:kern w:val="0"/>
          <w:szCs w:val="21"/>
          <w:highlight w:val="none"/>
          <w:u w:val="single"/>
          <w14:textFill>
            <w14:solidFill>
              <w14:schemeClr w14:val="tx1"/>
            </w14:solidFill>
          </w14:textFill>
        </w:rPr>
        <w:t>、信用中国</w:t>
      </w:r>
      <w:r>
        <w:rPr>
          <w:rFonts w:hint="eastAsia" w:ascii="宋体" w:hAnsi="宋体"/>
          <w:color w:val="000000" w:themeColor="text1"/>
          <w:kern w:val="0"/>
          <w:szCs w:val="21"/>
          <w:highlight w:val="none"/>
          <w:u w:val="single"/>
          <w:lang w:val="en-US" w:eastAsia="zh-CN"/>
          <w14:textFill>
            <w14:solidFill>
              <w14:schemeClr w14:val="tx1"/>
            </w14:solidFill>
          </w14:textFill>
        </w:rPr>
        <w:t>(</w:t>
      </w:r>
      <w:r>
        <w:rPr>
          <w:rFonts w:ascii="宋体" w:hAnsi="宋体"/>
          <w:color w:val="000000" w:themeColor="text1"/>
          <w:kern w:val="0"/>
          <w:szCs w:val="21"/>
          <w:highlight w:val="none"/>
          <w:u w:val="single"/>
          <w14:textFill>
            <w14:solidFill>
              <w14:schemeClr w14:val="tx1"/>
            </w14:solidFill>
          </w14:textFill>
        </w:rPr>
        <w:t>云南</w:t>
      </w:r>
      <w:r>
        <w:rPr>
          <w:rFonts w:hint="eastAsia" w:ascii="宋体" w:hAnsi="宋体"/>
          <w:color w:val="000000" w:themeColor="text1"/>
          <w:kern w:val="0"/>
          <w:szCs w:val="21"/>
          <w:highlight w:val="none"/>
          <w:u w:val="single"/>
          <w:lang w:val="en-US" w:eastAsia="zh-CN"/>
          <w14:textFill>
            <w14:solidFill>
              <w14:schemeClr w14:val="tx1"/>
            </w14:solidFill>
          </w14:textFill>
        </w:rPr>
        <w:t>)</w:t>
      </w:r>
      <w:r>
        <w:rPr>
          <w:rFonts w:ascii="宋体" w:hAnsi="宋体"/>
          <w:color w:val="000000" w:themeColor="text1"/>
          <w:kern w:val="0"/>
          <w:szCs w:val="21"/>
          <w:highlight w:val="none"/>
          <w:u w:val="single"/>
          <w14:textFill>
            <w14:solidFill>
              <w14:schemeClr w14:val="tx1"/>
            </w14:solidFill>
          </w14:textFill>
        </w:rPr>
        <w:t>”</w:t>
      </w:r>
      <w:r>
        <w:rPr>
          <w:rFonts w:hint="eastAsia" w:ascii="宋体" w:hAnsi="宋体"/>
          <w:color w:val="000000" w:themeColor="text1"/>
          <w:kern w:val="0"/>
          <w:szCs w:val="21"/>
          <w:highlight w:val="none"/>
          <w:u w:val="single"/>
          <w:lang w:val="en-US" w:eastAsia="zh-CN"/>
          <w14:textFill>
            <w14:solidFill>
              <w14:schemeClr w14:val="tx1"/>
            </w14:solidFill>
          </w14:textFill>
        </w:rPr>
        <w:t>(</w:t>
      </w:r>
      <w:r>
        <w:rPr>
          <w:rFonts w:ascii="宋体" w:hAnsi="宋体"/>
          <w:color w:val="000000" w:themeColor="text1"/>
          <w:kern w:val="0"/>
          <w:szCs w:val="21"/>
          <w:highlight w:val="none"/>
          <w:u w:val="single"/>
          <w14:textFill>
            <w14:solidFill>
              <w14:schemeClr w14:val="tx1"/>
            </w14:solidFill>
          </w14:textFill>
        </w:rPr>
        <w:t>http://yncredi.gov.cn/</w:t>
      </w:r>
      <w:r>
        <w:rPr>
          <w:rFonts w:hint="eastAsia" w:ascii="宋体" w:hAnsi="宋体"/>
          <w:color w:val="000000" w:themeColor="text1"/>
          <w:kern w:val="0"/>
          <w:szCs w:val="21"/>
          <w:highlight w:val="none"/>
          <w:u w:val="single"/>
          <w:lang w:val="en-US" w:eastAsia="zh-CN"/>
          <w14:textFill>
            <w14:solidFill>
              <w14:schemeClr w14:val="tx1"/>
            </w14:solidFill>
          </w14:textFill>
        </w:rPr>
        <w:t>)</w:t>
      </w:r>
      <w:r>
        <w:rPr>
          <w:rFonts w:ascii="宋体" w:hAnsi="宋体"/>
          <w:color w:val="000000" w:themeColor="text1"/>
          <w:kern w:val="0"/>
          <w:szCs w:val="21"/>
          <w:highlight w:val="none"/>
          <w:u w:val="single"/>
          <w14:textFill>
            <w14:solidFill>
              <w14:schemeClr w14:val="tx1"/>
            </w14:solidFill>
          </w14:textFill>
        </w:rPr>
        <w:t>、的失信执行人名单</w:t>
      </w:r>
      <w:r>
        <w:rPr>
          <w:rFonts w:hint="eastAsia" w:ascii="宋体" w:hAnsi="宋体"/>
          <w:color w:val="000000" w:themeColor="text1"/>
          <w:kern w:val="0"/>
          <w:szCs w:val="21"/>
          <w:highlight w:val="none"/>
          <w:u w:val="single"/>
          <w:lang w:eastAsia="zh-CN"/>
          <w14:textFill>
            <w14:solidFill>
              <w14:schemeClr w14:val="tx1"/>
            </w14:solidFill>
          </w14:textFill>
        </w:rPr>
        <w:t>。</w:t>
      </w:r>
      <w:r>
        <w:rPr>
          <w:rFonts w:hint="eastAsia" w:ascii="宋体" w:hAnsi="宋体"/>
          <w:color w:val="000000" w:themeColor="text1"/>
          <w:kern w:val="0"/>
          <w:szCs w:val="21"/>
          <w:highlight w:val="none"/>
          <w:u w:val="single"/>
          <w:lang w:val="en-US" w:eastAsia="zh-CN"/>
          <w14:textFill>
            <w14:solidFill>
              <w14:schemeClr w14:val="tx1"/>
            </w14:solidFill>
          </w14:textFill>
        </w:rPr>
        <w:t>(3)</w:t>
      </w:r>
      <w:r>
        <w:rPr>
          <w:rFonts w:hint="eastAsia" w:ascii="宋体" w:hAnsi="宋体"/>
          <w:color w:val="000000" w:themeColor="text1"/>
          <w:kern w:val="0"/>
          <w:szCs w:val="21"/>
          <w:highlight w:val="none"/>
          <w:u w:val="single"/>
          <w:lang w:eastAsia="zh-CN"/>
          <w14:textFill>
            <w14:solidFill>
              <w14:schemeClr w14:val="tx1"/>
            </w14:solidFill>
          </w14:textFill>
        </w:rPr>
        <w:t>“中国裁判文书网”查询的投标单位、法定代表人及项目负责人行贿犯罪记录截图。</w:t>
      </w:r>
      <w:r>
        <w:rPr>
          <w:rFonts w:hint="eastAsia" w:ascii="宋体" w:hAnsi="宋体"/>
          <w:color w:val="000000" w:themeColor="text1"/>
          <w:kern w:val="0"/>
          <w:szCs w:val="21"/>
          <w:highlight w:val="none"/>
          <w:u w:val="single"/>
          <w:lang w:val="en-US" w:eastAsia="zh-CN"/>
          <w14:textFill>
            <w14:solidFill>
              <w14:schemeClr w14:val="tx1"/>
            </w14:solidFill>
          </w14:textFill>
        </w:rPr>
        <w:t>(</w:t>
      </w:r>
      <w:r>
        <w:rPr>
          <w:rFonts w:ascii="宋体" w:hAnsi="宋体"/>
          <w:color w:val="000000" w:themeColor="text1"/>
          <w:kern w:val="0"/>
          <w:szCs w:val="21"/>
          <w:highlight w:val="none"/>
          <w:u w:val="single"/>
          <w14:textFill>
            <w14:solidFill>
              <w14:schemeClr w14:val="tx1"/>
            </w14:solidFill>
          </w14:textFill>
        </w:rPr>
        <w:t>查询时间须为本项目投标截止</w:t>
      </w:r>
      <w:r>
        <w:rPr>
          <w:rFonts w:hint="eastAsia" w:ascii="宋体" w:hAnsi="宋体"/>
          <w:color w:val="000000" w:themeColor="text1"/>
          <w:kern w:val="0"/>
          <w:szCs w:val="21"/>
          <w:highlight w:val="none"/>
          <w:u w:val="single"/>
          <w:lang w:val="en-US" w:eastAsia="zh-CN"/>
          <w14:textFill>
            <w14:solidFill>
              <w14:schemeClr w14:val="tx1"/>
            </w14:solidFill>
          </w14:textFill>
        </w:rPr>
        <w:t>时间</w:t>
      </w:r>
      <w:r>
        <w:rPr>
          <w:rFonts w:ascii="宋体" w:hAnsi="宋体"/>
          <w:color w:val="000000" w:themeColor="text1"/>
          <w:kern w:val="0"/>
          <w:szCs w:val="21"/>
          <w:highlight w:val="none"/>
          <w:u w:val="single"/>
          <w14:textFill>
            <w14:solidFill>
              <w14:schemeClr w14:val="tx1"/>
            </w14:solidFill>
          </w14:textFill>
        </w:rPr>
        <w:t>前</w:t>
      </w:r>
      <w:r>
        <w:rPr>
          <w:rFonts w:hint="eastAsia" w:ascii="宋体" w:hAnsi="宋体"/>
          <w:color w:val="000000" w:themeColor="text1"/>
          <w:kern w:val="0"/>
          <w:szCs w:val="21"/>
          <w:highlight w:val="none"/>
          <w:u w:val="single"/>
          <w:lang w:val="en-US" w:eastAsia="zh-CN"/>
          <w14:textFill>
            <w14:solidFill>
              <w14:schemeClr w14:val="tx1"/>
            </w14:solidFill>
          </w14:textFill>
        </w:rPr>
        <w:t>七</w:t>
      </w:r>
      <w:r>
        <w:rPr>
          <w:rFonts w:ascii="宋体" w:hAnsi="宋体"/>
          <w:color w:val="000000" w:themeColor="text1"/>
          <w:kern w:val="0"/>
          <w:szCs w:val="21"/>
          <w:highlight w:val="none"/>
          <w:u w:val="single"/>
          <w14:textFill>
            <w14:solidFill>
              <w14:schemeClr w14:val="tx1"/>
            </w14:solidFill>
          </w14:textFill>
        </w:rPr>
        <w:t>日内</w:t>
      </w:r>
      <w:r>
        <w:rPr>
          <w:rFonts w:hint="eastAsia" w:ascii="宋体" w:hAnsi="宋体"/>
          <w:color w:val="000000" w:themeColor="text1"/>
          <w:kern w:val="0"/>
          <w:szCs w:val="21"/>
          <w:highlight w:val="none"/>
          <w:u w:val="single"/>
          <w:lang w:val="en-US" w:eastAsia="zh-CN"/>
          <w14:textFill>
            <w14:solidFill>
              <w14:schemeClr w14:val="tx1"/>
            </w14:solidFill>
          </w14:textFill>
        </w:rPr>
        <w:t>有效)</w:t>
      </w:r>
      <w:r>
        <w:rPr>
          <w:rFonts w:ascii="宋体" w:hAnsi="宋体"/>
          <w:color w:val="000000" w:themeColor="text1"/>
          <w:kern w:val="0"/>
          <w:szCs w:val="21"/>
          <w:highlight w:val="none"/>
          <w:u w:val="single"/>
          <w14:textFill>
            <w14:solidFill>
              <w14:schemeClr w14:val="tx1"/>
            </w14:solidFill>
          </w14:textFill>
        </w:rPr>
        <w:t>。查询结果</w:t>
      </w:r>
      <w:r>
        <w:rPr>
          <w:rFonts w:hint="eastAsia" w:ascii="宋体" w:hAnsi="宋体"/>
          <w:color w:val="000000" w:themeColor="text1"/>
          <w:kern w:val="0"/>
          <w:szCs w:val="21"/>
          <w:highlight w:val="none"/>
          <w:u w:val="single"/>
          <w:lang w:val="en-US" w:eastAsia="zh-CN"/>
          <w14:textFill>
            <w14:solidFill>
              <w14:schemeClr w14:val="tx1"/>
            </w14:solidFill>
          </w14:textFill>
        </w:rPr>
        <w:t>应</w:t>
      </w:r>
      <w:r>
        <w:rPr>
          <w:rFonts w:ascii="宋体" w:hAnsi="宋体"/>
          <w:color w:val="000000" w:themeColor="text1"/>
          <w:kern w:val="0"/>
          <w:szCs w:val="21"/>
          <w:highlight w:val="none"/>
          <w:u w:val="single"/>
          <w14:textFill>
            <w14:solidFill>
              <w14:schemeClr w14:val="tx1"/>
            </w14:solidFill>
          </w14:textFill>
        </w:rPr>
        <w:t>真实，在公示期内</w:t>
      </w:r>
      <w:r>
        <w:rPr>
          <w:rFonts w:hint="eastAsia" w:ascii="宋体" w:hAnsi="宋体"/>
          <w:color w:val="000000" w:themeColor="text1"/>
          <w:kern w:val="0"/>
          <w:szCs w:val="21"/>
          <w:highlight w:val="none"/>
          <w:u w:val="single"/>
          <w:lang w:val="en-US" w:eastAsia="zh-CN"/>
          <w14:textFill>
            <w14:solidFill>
              <w14:schemeClr w14:val="tx1"/>
            </w14:solidFill>
          </w14:textFill>
        </w:rPr>
        <w:t>招标代理</w:t>
      </w:r>
      <w:r>
        <w:rPr>
          <w:rFonts w:ascii="宋体" w:hAnsi="宋体"/>
          <w:color w:val="000000" w:themeColor="text1"/>
          <w:kern w:val="0"/>
          <w:szCs w:val="21"/>
          <w:highlight w:val="none"/>
          <w:u w:val="single"/>
          <w14:textFill>
            <w14:solidFill>
              <w14:schemeClr w14:val="tx1"/>
            </w14:solidFill>
          </w14:textFill>
        </w:rPr>
        <w:t>会对推荐的前三名中标候选人进行查询，若查询结果显示该公司被列入失信执行人名单</w:t>
      </w:r>
      <w:r>
        <w:rPr>
          <w:rFonts w:hint="eastAsia" w:ascii="宋体" w:hAnsi="宋体"/>
          <w:color w:val="000000" w:themeColor="text1"/>
          <w:kern w:val="0"/>
          <w:szCs w:val="21"/>
          <w:highlight w:val="none"/>
          <w:u w:val="single"/>
          <w:lang w:val="en-US" w:eastAsia="zh-CN"/>
          <w14:textFill>
            <w14:solidFill>
              <w14:schemeClr w14:val="tx1"/>
            </w14:solidFill>
          </w14:textFill>
        </w:rPr>
        <w:t>或存在</w:t>
      </w:r>
      <w:r>
        <w:rPr>
          <w:rFonts w:hint="eastAsia" w:ascii="宋体" w:hAnsi="宋体"/>
          <w:color w:val="000000" w:themeColor="text1"/>
          <w:kern w:val="0"/>
          <w:szCs w:val="21"/>
          <w:highlight w:val="none"/>
          <w:u w:val="single"/>
          <w:lang w:eastAsia="zh-CN"/>
          <w14:textFill>
            <w14:solidFill>
              <w14:schemeClr w14:val="tx1"/>
            </w14:solidFill>
          </w14:textFill>
        </w:rPr>
        <w:t>行贿犯罪记录</w:t>
      </w:r>
      <w:r>
        <w:rPr>
          <w:rFonts w:ascii="宋体" w:hAnsi="宋体"/>
          <w:color w:val="000000" w:themeColor="text1"/>
          <w:kern w:val="0"/>
          <w:szCs w:val="21"/>
          <w:highlight w:val="none"/>
          <w:u w:val="single"/>
          <w14:textFill>
            <w14:solidFill>
              <w14:schemeClr w14:val="tx1"/>
            </w14:solidFill>
          </w14:textFill>
        </w:rPr>
        <w:t>，</w:t>
      </w:r>
      <w:r>
        <w:rPr>
          <w:rFonts w:hint="eastAsia" w:ascii="宋体" w:hAnsi="宋体"/>
          <w:color w:val="000000" w:themeColor="text1"/>
          <w:kern w:val="0"/>
          <w:szCs w:val="21"/>
          <w:highlight w:val="none"/>
          <w:u w:val="single"/>
          <w:lang w:eastAsia="zh-CN"/>
          <w14:textFill>
            <w14:solidFill>
              <w14:schemeClr w14:val="tx1"/>
            </w14:solidFill>
          </w14:textFill>
        </w:rPr>
        <w:t>经查证</w:t>
      </w:r>
      <w:r>
        <w:rPr>
          <w:rFonts w:hint="eastAsia" w:ascii="宋体" w:hAnsi="宋体"/>
          <w:color w:val="000000" w:themeColor="text1"/>
          <w:kern w:val="0"/>
          <w:szCs w:val="21"/>
          <w:highlight w:val="none"/>
          <w:u w:val="single"/>
          <w:lang w:val="en-US" w:eastAsia="zh-CN"/>
          <w14:textFill>
            <w14:solidFill>
              <w14:schemeClr w14:val="tx1"/>
            </w14:solidFill>
          </w14:textFill>
        </w:rPr>
        <w:t>将</w:t>
      </w:r>
      <w:r>
        <w:rPr>
          <w:rFonts w:ascii="宋体" w:hAnsi="宋体"/>
          <w:color w:val="000000" w:themeColor="text1"/>
          <w:kern w:val="0"/>
          <w:szCs w:val="21"/>
          <w:highlight w:val="none"/>
          <w:u w:val="single"/>
          <w14:textFill>
            <w14:solidFill>
              <w14:schemeClr w14:val="tx1"/>
            </w14:solidFill>
          </w14:textFill>
        </w:rPr>
        <w:t>上报</w:t>
      </w:r>
      <w:r>
        <w:rPr>
          <w:rFonts w:hint="eastAsia" w:ascii="宋体" w:hAnsi="宋体"/>
          <w:color w:val="000000" w:themeColor="text1"/>
          <w:kern w:val="0"/>
          <w:szCs w:val="21"/>
          <w:highlight w:val="none"/>
          <w:u w:val="single"/>
          <w:lang w:val="en-US" w:eastAsia="zh-CN"/>
          <w14:textFill>
            <w14:solidFill>
              <w14:schemeClr w14:val="tx1"/>
            </w14:solidFill>
          </w14:textFill>
        </w:rPr>
        <w:t>至行业</w:t>
      </w:r>
      <w:r>
        <w:rPr>
          <w:rFonts w:ascii="宋体" w:hAnsi="宋体"/>
          <w:color w:val="000000" w:themeColor="text1"/>
          <w:kern w:val="0"/>
          <w:szCs w:val="21"/>
          <w:highlight w:val="none"/>
          <w:u w:val="single"/>
          <w14:textFill>
            <w14:solidFill>
              <w14:schemeClr w14:val="tx1"/>
            </w14:solidFill>
          </w14:textFill>
        </w:rPr>
        <w:t>主管部门和招标人，所产生的一切后果由投标人自行承担</w:t>
      </w:r>
      <w:r>
        <w:rPr>
          <w:rFonts w:ascii="宋体" w:hAnsi="宋体"/>
          <w:color w:val="000000" w:themeColor="text1"/>
          <w:kern w:val="0"/>
          <w:szCs w:val="21"/>
          <w:highlight w:val="none"/>
          <w:u w:val="single"/>
          <w14:textFill>
            <w14:solidFill>
              <w14:schemeClr w14:val="tx1"/>
            </w14:solidFill>
          </w14:textFill>
        </w:rPr>
        <w:fldChar w:fldCharType="end"/>
      </w:r>
      <w:r>
        <w:rPr>
          <w:rFonts w:hint="eastAsia" w:ascii="宋体" w:hAnsi="宋体"/>
          <w:color w:val="000000" w:themeColor="text1"/>
          <w:kern w:val="0"/>
          <w:szCs w:val="21"/>
          <w:highlight w:val="none"/>
          <w:u w:val="single"/>
          <w:lang w:eastAsia="zh-CN"/>
          <w14:textFill>
            <w14:solidFill>
              <w14:schemeClr w14:val="tx1"/>
            </w14:solidFill>
          </w14:textFill>
        </w:rPr>
        <w:t>。</w:t>
      </w:r>
    </w:p>
    <w:p>
      <w:pPr>
        <w:adjustRightInd w:val="0"/>
        <w:snapToGrid w:val="0"/>
        <w:spacing w:line="360" w:lineRule="auto"/>
        <w:ind w:firstLine="420" w:firstLineChars="200"/>
        <w:jc w:val="left"/>
        <w:rPr>
          <w:rFonts w:hint="eastAsia" w:ascii="宋体" w:hAnsi="宋体"/>
          <w:kern w:val="0"/>
          <w:szCs w:val="21"/>
          <w:highlight w:val="none"/>
          <w:u w:val="single"/>
        </w:rPr>
      </w:pPr>
      <w:r>
        <w:rPr>
          <w:rFonts w:hint="eastAsia" w:ascii="宋体" w:hAnsi="宋体"/>
          <w:kern w:val="0"/>
          <w:szCs w:val="21"/>
          <w:highlight w:val="none"/>
          <w:u w:val="single"/>
          <w:lang w:val="en-US" w:eastAsia="zh-CN"/>
        </w:rPr>
        <w:t>2</w:t>
      </w:r>
      <w:r>
        <w:rPr>
          <w:rFonts w:hint="eastAsia" w:ascii="宋体" w:hAnsi="宋体"/>
          <w:kern w:val="0"/>
          <w:szCs w:val="21"/>
          <w:highlight w:val="none"/>
          <w:u w:val="single"/>
        </w:rPr>
        <w:t>、根据云南省人力资源和社会保障厅劳动保障监察局文件《关于请衔接相关单位统一查询用人单位劳动保障信用记录事项的紧急通知》（云劳监局【2018】7号，原“无拖欠工资证明”更名为“工资支付信用记录”，由招标人或代理机构统一查询中标候选人相关信用记录信息。若查询到中标候选人有不良信用记录的取消其中标候选人资格。</w:t>
      </w:r>
    </w:p>
    <w:p>
      <w:pPr>
        <w:adjustRightInd w:val="0"/>
        <w:snapToGrid w:val="0"/>
        <w:spacing w:line="360" w:lineRule="auto"/>
        <w:ind w:firstLine="420" w:firstLineChars="200"/>
        <w:jc w:val="left"/>
        <w:rPr>
          <w:rFonts w:hint="eastAsia" w:ascii="宋体" w:hAnsi="宋体"/>
          <w:kern w:val="0"/>
          <w:szCs w:val="21"/>
          <w:highlight w:val="none"/>
          <w:u w:val="single"/>
        </w:rPr>
      </w:pPr>
      <w:r>
        <w:rPr>
          <w:rFonts w:hint="eastAsia" w:ascii="宋体" w:hAnsi="宋体"/>
          <w:kern w:val="0"/>
          <w:szCs w:val="21"/>
          <w:highlight w:val="none"/>
          <w:u w:val="single"/>
          <w:lang w:val="en-US" w:eastAsia="zh-CN"/>
        </w:rPr>
        <w:t>3</w:t>
      </w:r>
      <w:r>
        <w:rPr>
          <w:rFonts w:hint="eastAsia" w:ascii="宋体" w:hAnsi="宋体"/>
          <w:kern w:val="0"/>
          <w:szCs w:val="21"/>
          <w:highlight w:val="none"/>
          <w:u w:val="single"/>
        </w:rPr>
        <w:t>、工程量清单报价表及投标报价一览表须由本公司造价从业人员签字、盖章，并加盖投标人公章及法人章。委托造价咨询公司编制投标预算的，工程量清单报价表及投标报价一览表须由造价咨询公司造价从业人员签字、盖章，并加盖投标人公章及法人章。</w:t>
      </w:r>
    </w:p>
    <w:p>
      <w:pPr>
        <w:adjustRightInd w:val="0"/>
        <w:snapToGrid w:val="0"/>
        <w:spacing w:line="360" w:lineRule="auto"/>
        <w:ind w:firstLine="420" w:firstLineChars="200"/>
        <w:jc w:val="left"/>
        <w:rPr>
          <w:rFonts w:ascii="宋体" w:hAnsi="宋体"/>
          <w:kern w:val="0"/>
          <w:highlight w:val="none"/>
        </w:rPr>
      </w:pPr>
      <w:r>
        <w:rPr>
          <w:rFonts w:hint="eastAsia" w:ascii="宋体" w:hAnsi="宋体"/>
          <w:kern w:val="0"/>
          <w:szCs w:val="21"/>
          <w:highlight w:val="none"/>
        </w:rPr>
        <w:t>（要求投标人其他资格的应详细明确，且不得违反相关规定和强制性条款）。</w:t>
      </w:r>
    </w:p>
    <w:p>
      <w:pPr>
        <w:adjustRightInd w:val="0"/>
        <w:snapToGrid w:val="0"/>
        <w:spacing w:line="360" w:lineRule="auto"/>
        <w:jc w:val="left"/>
        <w:rPr>
          <w:rFonts w:ascii="宋体" w:hAnsi="宋体"/>
          <w:b/>
          <w:sz w:val="32"/>
          <w:szCs w:val="32"/>
          <w:highlight w:val="none"/>
        </w:rPr>
      </w:pPr>
      <w:r>
        <w:rPr>
          <w:rFonts w:hint="eastAsia" w:ascii="宋体" w:hAnsi="宋体"/>
          <w:b/>
          <w:sz w:val="32"/>
          <w:szCs w:val="32"/>
          <w:highlight w:val="none"/>
        </w:rPr>
        <w:t>5</w:t>
      </w:r>
      <w:r>
        <w:rPr>
          <w:rFonts w:ascii="宋体" w:hAnsi="宋体"/>
          <w:b/>
          <w:sz w:val="32"/>
          <w:szCs w:val="32"/>
          <w:highlight w:val="none"/>
        </w:rPr>
        <w:t>.招标文件的获取</w:t>
      </w:r>
    </w:p>
    <w:p>
      <w:pPr>
        <w:adjustRightInd w:val="0"/>
        <w:snapToGrid w:val="0"/>
        <w:spacing w:line="360" w:lineRule="auto"/>
        <w:ind w:firstLine="420" w:firstLineChars="200"/>
        <w:jc w:val="left"/>
        <w:rPr>
          <w:rFonts w:ascii="宋体" w:hAnsi="宋体"/>
          <w:kern w:val="0"/>
          <w:szCs w:val="28"/>
          <w:highlight w:val="none"/>
        </w:rPr>
      </w:pPr>
      <w:r>
        <w:rPr>
          <w:rFonts w:hint="eastAsia" w:ascii="宋体" w:hAnsi="宋体"/>
          <w:kern w:val="0"/>
          <w:szCs w:val="28"/>
          <w:highlight w:val="none"/>
        </w:rPr>
        <w:t>5.1凡有意参加投标者（以网上公告时间为准），登录</w:t>
      </w:r>
      <w:r>
        <w:rPr>
          <w:rFonts w:hint="eastAsia" w:ascii="宋体" w:hAnsi="宋体"/>
          <w:color w:val="3333FF"/>
          <w:kern w:val="0"/>
          <w:szCs w:val="28"/>
          <w:highlight w:val="none"/>
          <w:u w:val="single"/>
          <w:lang w:eastAsia="zh-CN"/>
        </w:rPr>
        <w:t>云南省公共资源交易信息网（大理州）（http://116.55.195.71:8001/ynggfwpt-xinxi-web/#/homePage）</w:t>
      </w:r>
      <w:r>
        <w:rPr>
          <w:rFonts w:hint="eastAsia" w:ascii="宋体" w:hAnsi="宋体"/>
          <w:kern w:val="0"/>
          <w:szCs w:val="28"/>
          <w:highlight w:val="none"/>
        </w:rPr>
        <w:t>，凭企业数字证书（CA）在网上获取招标文件及其它招标资料（含招标电子技术标文件，格式为*.</w:t>
      </w:r>
      <w:r>
        <w:rPr>
          <w:rFonts w:hint="eastAsia" w:ascii="宋体" w:hAnsi="宋体"/>
          <w:kern w:val="0"/>
          <w:szCs w:val="28"/>
          <w:highlight w:val="none"/>
          <w:lang w:val="en-US" w:eastAsia="zh-CN"/>
        </w:rPr>
        <w:t>BZBJ</w:t>
      </w:r>
      <w:r>
        <w:rPr>
          <w:rFonts w:hint="eastAsia" w:ascii="宋体" w:hAnsi="宋体"/>
          <w:kern w:val="0"/>
          <w:szCs w:val="28"/>
          <w:highlight w:val="none"/>
        </w:rPr>
        <w:t>；招标电子商务标文件，格式为*.ZBS、图纸（电子版））。未办理企业数字证书（CA）的企业需要按照云南省公共资源交易电子认证的要求，办理企业数字证书（CA），并在</w:t>
      </w:r>
      <w:r>
        <w:rPr>
          <w:rFonts w:hint="eastAsia" w:ascii="宋体" w:hAnsi="宋体"/>
          <w:color w:val="3333FF"/>
          <w:kern w:val="0"/>
          <w:szCs w:val="28"/>
          <w:highlight w:val="none"/>
          <w:u w:val="single"/>
          <w:lang w:eastAsia="zh-CN"/>
        </w:rPr>
        <w:t>云南省公共资源交易信息网（大理州）</w:t>
      </w:r>
      <w:r>
        <w:rPr>
          <w:rFonts w:hint="eastAsia" w:ascii="宋体" w:hAnsi="宋体"/>
          <w:kern w:val="0"/>
          <w:szCs w:val="28"/>
          <w:highlight w:val="none"/>
        </w:rPr>
        <w:t>完成注册通过后，便可获取招标文件，此为获取招标文件的唯一途径。</w:t>
      </w:r>
    </w:p>
    <w:p>
      <w:pPr>
        <w:adjustRightInd w:val="0"/>
        <w:snapToGrid w:val="0"/>
        <w:spacing w:line="360" w:lineRule="auto"/>
        <w:ind w:firstLine="420" w:firstLineChars="200"/>
        <w:jc w:val="left"/>
        <w:rPr>
          <w:rFonts w:hint="eastAsia" w:ascii="宋体" w:hAnsi="宋体"/>
          <w:kern w:val="0"/>
          <w:szCs w:val="21"/>
          <w:highlight w:val="none"/>
          <w:u w:val="single"/>
        </w:rPr>
      </w:pPr>
      <w:r>
        <w:rPr>
          <w:rFonts w:hint="eastAsia" w:ascii="宋体" w:hAnsi="宋体"/>
          <w:kern w:val="0"/>
          <w:szCs w:val="28"/>
          <w:highlight w:val="none"/>
        </w:rPr>
        <w:t>5.2其他要求：</w:t>
      </w:r>
      <w:r>
        <w:rPr>
          <w:rFonts w:hint="eastAsia" w:ascii="宋体" w:hAnsi="宋体"/>
          <w:kern w:val="0"/>
          <w:szCs w:val="21"/>
          <w:highlight w:val="none"/>
          <w:u w:val="single"/>
        </w:rPr>
        <w:t>投标人请于</w:t>
      </w:r>
      <w:r>
        <w:rPr>
          <w:rFonts w:hint="eastAsia" w:ascii="宋体" w:hAnsi="宋体"/>
          <w:kern w:val="0"/>
          <w:szCs w:val="21"/>
          <w:highlight w:val="none"/>
          <w:u w:val="single"/>
          <w:lang w:val="en-US" w:eastAsia="zh-CN"/>
        </w:rPr>
        <w:t>2022</w:t>
      </w:r>
      <w:r>
        <w:rPr>
          <w:rFonts w:hint="eastAsia" w:ascii="宋体" w:hAnsi="宋体"/>
          <w:kern w:val="0"/>
          <w:szCs w:val="21"/>
          <w:highlight w:val="none"/>
          <w:u w:val="single"/>
        </w:rPr>
        <w:t>年</w:t>
      </w:r>
      <w:r>
        <w:rPr>
          <w:rFonts w:hint="eastAsia" w:ascii="宋体" w:hAnsi="宋体"/>
          <w:kern w:val="0"/>
          <w:szCs w:val="21"/>
          <w:highlight w:val="none"/>
          <w:u w:val="single"/>
          <w:lang w:val="en-US" w:eastAsia="zh-CN"/>
        </w:rPr>
        <w:t>7</w:t>
      </w:r>
      <w:r>
        <w:rPr>
          <w:rFonts w:hint="eastAsia" w:ascii="宋体" w:hAnsi="宋体"/>
          <w:kern w:val="0"/>
          <w:szCs w:val="21"/>
          <w:highlight w:val="none"/>
          <w:u w:val="single"/>
        </w:rPr>
        <w:t>月</w:t>
      </w:r>
      <w:r>
        <w:rPr>
          <w:rFonts w:hint="eastAsia" w:ascii="宋体" w:hAnsi="宋体"/>
          <w:kern w:val="0"/>
          <w:szCs w:val="21"/>
          <w:highlight w:val="none"/>
          <w:u w:val="single"/>
          <w:lang w:val="en-US" w:eastAsia="zh-CN"/>
        </w:rPr>
        <w:t>12</w:t>
      </w:r>
      <w:r>
        <w:rPr>
          <w:rFonts w:hint="eastAsia" w:ascii="宋体" w:hAnsi="宋体"/>
          <w:kern w:val="0"/>
          <w:szCs w:val="21"/>
          <w:highlight w:val="none"/>
          <w:u w:val="single"/>
        </w:rPr>
        <w:t>日</w:t>
      </w:r>
      <w:r>
        <w:rPr>
          <w:rFonts w:hint="eastAsia" w:ascii="宋体" w:hAnsi="宋体"/>
          <w:kern w:val="0"/>
          <w:szCs w:val="21"/>
          <w:highlight w:val="none"/>
          <w:u w:val="single"/>
          <w:lang w:val="en-US" w:eastAsia="zh-CN"/>
        </w:rPr>
        <w:t>9</w:t>
      </w:r>
      <w:r>
        <w:rPr>
          <w:rFonts w:hint="eastAsia" w:ascii="宋体" w:hAnsi="宋体"/>
          <w:kern w:val="0"/>
          <w:szCs w:val="21"/>
          <w:highlight w:val="none"/>
          <w:u w:val="single"/>
        </w:rPr>
        <w:t>时</w:t>
      </w:r>
      <w:r>
        <w:rPr>
          <w:rFonts w:hint="eastAsia" w:ascii="宋体" w:hAnsi="宋体"/>
          <w:kern w:val="0"/>
          <w:szCs w:val="21"/>
          <w:highlight w:val="none"/>
          <w:u w:val="single"/>
          <w:lang w:val="en-US" w:eastAsia="zh-CN"/>
        </w:rPr>
        <w:t>00</w:t>
      </w:r>
      <w:r>
        <w:rPr>
          <w:rFonts w:hint="eastAsia" w:ascii="宋体" w:hAnsi="宋体"/>
          <w:kern w:val="0"/>
          <w:szCs w:val="21"/>
          <w:highlight w:val="none"/>
          <w:u w:val="single"/>
        </w:rPr>
        <w:t>分至</w:t>
      </w:r>
      <w:r>
        <w:rPr>
          <w:rFonts w:hint="eastAsia" w:ascii="宋体" w:hAnsi="宋体"/>
          <w:kern w:val="0"/>
          <w:szCs w:val="21"/>
          <w:highlight w:val="none"/>
          <w:u w:val="single"/>
          <w:lang w:val="en-US" w:eastAsia="zh-CN"/>
        </w:rPr>
        <w:t>2022</w:t>
      </w:r>
      <w:r>
        <w:rPr>
          <w:rFonts w:hint="eastAsia" w:ascii="宋体" w:hAnsi="宋体"/>
          <w:kern w:val="0"/>
          <w:szCs w:val="21"/>
          <w:highlight w:val="none"/>
          <w:u w:val="single"/>
        </w:rPr>
        <w:t>年</w:t>
      </w:r>
      <w:r>
        <w:rPr>
          <w:rFonts w:hint="eastAsia" w:ascii="宋体" w:hAnsi="宋体"/>
          <w:kern w:val="0"/>
          <w:szCs w:val="21"/>
          <w:highlight w:val="none"/>
          <w:u w:val="single"/>
          <w:lang w:val="en-US" w:eastAsia="zh-CN"/>
        </w:rPr>
        <w:t>7</w:t>
      </w:r>
      <w:r>
        <w:rPr>
          <w:rFonts w:hint="eastAsia" w:ascii="宋体" w:hAnsi="宋体"/>
          <w:kern w:val="0"/>
          <w:szCs w:val="21"/>
          <w:highlight w:val="none"/>
          <w:u w:val="single"/>
        </w:rPr>
        <w:t>月</w:t>
      </w:r>
      <w:r>
        <w:rPr>
          <w:rFonts w:hint="eastAsia" w:ascii="宋体" w:hAnsi="宋体"/>
          <w:kern w:val="0"/>
          <w:szCs w:val="21"/>
          <w:highlight w:val="none"/>
          <w:u w:val="single"/>
          <w:lang w:val="en-US" w:eastAsia="zh-CN"/>
        </w:rPr>
        <w:t>18</w:t>
      </w:r>
      <w:r>
        <w:rPr>
          <w:rFonts w:hint="eastAsia" w:ascii="宋体" w:hAnsi="宋体"/>
          <w:kern w:val="0"/>
          <w:szCs w:val="21"/>
          <w:highlight w:val="none"/>
          <w:u w:val="single"/>
        </w:rPr>
        <w:t>日17时</w:t>
      </w:r>
      <w:r>
        <w:rPr>
          <w:rFonts w:hint="eastAsia" w:ascii="宋体" w:hAnsi="宋体"/>
          <w:kern w:val="0"/>
          <w:szCs w:val="21"/>
          <w:highlight w:val="none"/>
          <w:u w:val="single"/>
          <w:lang w:val="en-US" w:eastAsia="zh-CN"/>
        </w:rPr>
        <w:t>0</w:t>
      </w:r>
      <w:r>
        <w:rPr>
          <w:rFonts w:hint="eastAsia" w:ascii="宋体" w:hAnsi="宋体"/>
          <w:kern w:val="0"/>
          <w:szCs w:val="21"/>
          <w:highlight w:val="none"/>
          <w:u w:val="single"/>
        </w:rPr>
        <w:t>0分凭企业数字证书（CA）登录</w:t>
      </w:r>
      <w:r>
        <w:rPr>
          <w:rFonts w:hint="eastAsia" w:ascii="宋体" w:hAnsi="宋体"/>
          <w:kern w:val="0"/>
          <w:szCs w:val="21"/>
          <w:highlight w:val="none"/>
          <w:u w:val="single"/>
          <w:lang w:eastAsia="zh-CN"/>
        </w:rPr>
        <w:t>云南省公共资源交易信息网（大理州）（http://116.55.195.71:8001/ynggfwpt-xinxi-web/#/homePage）</w:t>
      </w:r>
      <w:r>
        <w:rPr>
          <w:rFonts w:hint="eastAsia" w:ascii="宋体" w:hAnsi="宋体"/>
          <w:kern w:val="0"/>
          <w:szCs w:val="21"/>
          <w:highlight w:val="none"/>
          <w:u w:val="single"/>
        </w:rPr>
        <w:t>确认投标，投标单位要确认投标后才能获取招标文件和上传投标文件。过了招标文件获取截止时间，投标单位未确认投标将无法获取招标文件和上传投标文件。</w:t>
      </w:r>
    </w:p>
    <w:p>
      <w:pPr>
        <w:adjustRightInd w:val="0"/>
        <w:snapToGrid w:val="0"/>
        <w:spacing w:line="360" w:lineRule="auto"/>
        <w:ind w:firstLine="420" w:firstLineChars="200"/>
        <w:jc w:val="left"/>
        <w:rPr>
          <w:rFonts w:hint="eastAsia" w:ascii="宋体" w:hAnsi="宋体" w:eastAsia="宋体"/>
          <w:kern w:val="0"/>
          <w:szCs w:val="21"/>
          <w:highlight w:val="none"/>
          <w:u w:val="single"/>
          <w:lang w:eastAsia="zh-CN"/>
        </w:rPr>
      </w:pPr>
      <w:r>
        <w:rPr>
          <w:rFonts w:hint="eastAsia" w:ascii="宋体" w:hAnsi="宋体"/>
          <w:kern w:val="0"/>
          <w:szCs w:val="21"/>
          <w:highlight w:val="none"/>
          <w:u w:val="single"/>
        </w:rPr>
        <w:t>注：如果投标单位之前已经办理过云南CA证书，此次投标只需进入</w:t>
      </w:r>
      <w:r>
        <w:rPr>
          <w:rFonts w:hint="eastAsia" w:ascii="宋体" w:hAnsi="宋体"/>
          <w:kern w:val="0"/>
          <w:szCs w:val="21"/>
          <w:highlight w:val="none"/>
          <w:u w:val="single"/>
          <w:lang w:eastAsia="zh-CN"/>
        </w:rPr>
        <w:t>云南省公共资源交易信息网（大理州）</w:t>
      </w:r>
      <w:r>
        <w:rPr>
          <w:rFonts w:hint="eastAsia" w:ascii="宋体" w:hAnsi="宋体"/>
          <w:kern w:val="0"/>
          <w:szCs w:val="21"/>
          <w:highlight w:val="none"/>
          <w:u w:val="single"/>
        </w:rPr>
        <w:t>注册登录，无需重复办理CA数字证书</w:t>
      </w:r>
      <w:r>
        <w:rPr>
          <w:rFonts w:hint="eastAsia" w:ascii="宋体" w:hAnsi="宋体"/>
          <w:kern w:val="0"/>
          <w:szCs w:val="21"/>
          <w:highlight w:val="none"/>
          <w:u w:val="single"/>
          <w:lang w:eastAsia="zh-CN"/>
        </w:rPr>
        <w:t>。</w:t>
      </w:r>
    </w:p>
    <w:p>
      <w:pPr>
        <w:adjustRightInd w:val="0"/>
        <w:snapToGrid w:val="0"/>
        <w:spacing w:line="360" w:lineRule="auto"/>
        <w:jc w:val="left"/>
        <w:rPr>
          <w:rFonts w:ascii="宋体" w:hAnsi="宋体"/>
          <w:b/>
          <w:sz w:val="32"/>
          <w:szCs w:val="32"/>
          <w:highlight w:val="none"/>
        </w:rPr>
      </w:pPr>
      <w:r>
        <w:rPr>
          <w:rFonts w:hint="eastAsia" w:ascii="宋体" w:hAnsi="宋体"/>
          <w:b/>
          <w:sz w:val="32"/>
          <w:szCs w:val="32"/>
          <w:highlight w:val="none"/>
        </w:rPr>
        <w:t>6.投标文件的上传</w:t>
      </w:r>
    </w:p>
    <w:p>
      <w:p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6.1投标文件上传的截止时间（投标截止时间，下同）以网上公告时间为准。</w:t>
      </w:r>
    </w:p>
    <w:p>
      <w:pPr>
        <w:adjustRightInd w:val="0"/>
        <w:snapToGrid w:val="0"/>
        <w:spacing w:line="360" w:lineRule="auto"/>
        <w:ind w:firstLine="420" w:firstLineChars="200"/>
        <w:jc w:val="left"/>
        <w:rPr>
          <w:rFonts w:ascii="宋体" w:hAnsi="宋体"/>
          <w:kern w:val="0"/>
          <w:szCs w:val="28"/>
          <w:highlight w:val="none"/>
        </w:rPr>
      </w:pPr>
      <w:r>
        <w:rPr>
          <w:rFonts w:hint="eastAsia" w:ascii="宋体" w:hAnsi="宋体"/>
          <w:kern w:val="0"/>
          <w:szCs w:val="28"/>
          <w:highlight w:val="none"/>
        </w:rPr>
        <w:t>6.2网上上传：网上上传网址为</w:t>
      </w:r>
      <w:r>
        <w:rPr>
          <w:rFonts w:hint="eastAsia" w:ascii="宋体" w:hAnsi="宋体"/>
          <w:color w:val="3333FF"/>
          <w:kern w:val="0"/>
          <w:szCs w:val="28"/>
          <w:highlight w:val="none"/>
          <w:u w:val="single"/>
          <w:lang w:eastAsia="zh-CN"/>
        </w:rPr>
        <w:t>http://116.55.195.71:8001/ynggfwpt-xinxi-web/#/homePage</w:t>
      </w:r>
      <w:r>
        <w:rPr>
          <w:rFonts w:hint="eastAsia" w:ascii="宋体" w:hAnsi="宋体"/>
          <w:kern w:val="0"/>
          <w:szCs w:val="28"/>
          <w:highlight w:val="none"/>
        </w:rPr>
        <w:t>，投标人须在投标截止时间前完成所有投标文件的上传。投标人根据拟要投标的项目，按照网上投标系统要求上传全部投标文件，投标文件上传后须自行检查投标文件的完整性并进行确认签名后，方完成全部投标文件网上上传操作。投标人可自行打印“上传投标文件回执”。投标截止时间前未完成投标文件传输的，视为撤回投标文件。</w:t>
      </w:r>
    </w:p>
    <w:p>
      <w:pPr>
        <w:adjustRightInd w:val="0"/>
        <w:snapToGrid w:val="0"/>
        <w:spacing w:line="360" w:lineRule="auto"/>
        <w:ind w:firstLine="420" w:firstLineChars="200"/>
        <w:jc w:val="left"/>
        <w:rPr>
          <w:rFonts w:hint="eastAsia" w:ascii="宋体" w:hAnsi="宋体"/>
          <w:kern w:val="0"/>
          <w:szCs w:val="28"/>
          <w:highlight w:val="none"/>
        </w:rPr>
      </w:pPr>
      <w:r>
        <w:rPr>
          <w:rFonts w:hint="eastAsia" w:ascii="宋体" w:hAnsi="宋体"/>
          <w:kern w:val="0"/>
          <w:szCs w:val="28"/>
          <w:highlight w:val="none"/>
        </w:rPr>
        <w:t>6.3其他要求：</w:t>
      </w:r>
    </w:p>
    <w:p>
      <w:pPr>
        <w:adjustRightInd w:val="0"/>
        <w:snapToGrid w:val="0"/>
        <w:spacing w:line="360" w:lineRule="auto"/>
        <w:ind w:firstLine="420" w:firstLineChars="200"/>
        <w:jc w:val="left"/>
        <w:rPr>
          <w:rFonts w:hint="eastAsia" w:ascii="宋体" w:hAnsi="宋体"/>
          <w:kern w:val="0"/>
          <w:szCs w:val="21"/>
          <w:highlight w:val="none"/>
          <w:u w:val="single"/>
        </w:rPr>
      </w:pPr>
      <w:r>
        <w:rPr>
          <w:rFonts w:hint="eastAsia" w:ascii="宋体" w:hAnsi="宋体"/>
          <w:kern w:val="0"/>
          <w:szCs w:val="21"/>
          <w:highlight w:val="none"/>
          <w:u w:val="single"/>
        </w:rPr>
        <w:t>（1）现场递交截止时间：2022年</w:t>
      </w:r>
      <w:r>
        <w:rPr>
          <w:rFonts w:hint="eastAsia" w:ascii="宋体" w:hAnsi="宋体"/>
          <w:kern w:val="0"/>
          <w:szCs w:val="21"/>
          <w:highlight w:val="none"/>
          <w:u w:val="single"/>
          <w:lang w:val="en-US" w:eastAsia="zh-CN"/>
        </w:rPr>
        <w:t>8</w:t>
      </w:r>
      <w:r>
        <w:rPr>
          <w:rFonts w:hint="eastAsia" w:ascii="宋体" w:hAnsi="宋体"/>
          <w:kern w:val="0"/>
          <w:szCs w:val="21"/>
          <w:highlight w:val="none"/>
          <w:u w:val="single"/>
        </w:rPr>
        <w:t>月</w:t>
      </w:r>
      <w:r>
        <w:rPr>
          <w:rFonts w:hint="eastAsia" w:ascii="宋体" w:hAnsi="宋体"/>
          <w:kern w:val="0"/>
          <w:szCs w:val="21"/>
          <w:highlight w:val="none"/>
          <w:u w:val="single"/>
          <w:lang w:val="en-US" w:eastAsia="zh-CN"/>
        </w:rPr>
        <w:t>2</w:t>
      </w:r>
      <w:r>
        <w:rPr>
          <w:rFonts w:hint="eastAsia" w:ascii="宋体" w:hAnsi="宋体"/>
          <w:kern w:val="0"/>
          <w:szCs w:val="21"/>
          <w:highlight w:val="none"/>
          <w:u w:val="single"/>
        </w:rPr>
        <w:t>日</w:t>
      </w:r>
      <w:r>
        <w:rPr>
          <w:rFonts w:hint="eastAsia" w:ascii="宋体" w:hAnsi="宋体"/>
          <w:kern w:val="0"/>
          <w:szCs w:val="21"/>
          <w:highlight w:val="none"/>
          <w:u w:val="single"/>
          <w:lang w:val="en-US" w:eastAsia="zh-CN"/>
        </w:rPr>
        <w:t>上</w:t>
      </w:r>
      <w:r>
        <w:rPr>
          <w:rFonts w:hint="eastAsia" w:ascii="宋体" w:hAnsi="宋体"/>
          <w:kern w:val="0"/>
          <w:szCs w:val="21"/>
          <w:highlight w:val="none"/>
          <w:u w:val="single"/>
        </w:rPr>
        <w:t>午</w:t>
      </w:r>
      <w:r>
        <w:rPr>
          <w:rFonts w:hint="eastAsia" w:ascii="宋体" w:hAnsi="宋体"/>
          <w:kern w:val="0"/>
          <w:szCs w:val="21"/>
          <w:highlight w:val="none"/>
          <w:u w:val="single"/>
          <w:lang w:val="en-US" w:eastAsia="zh-CN"/>
        </w:rPr>
        <w:t>8</w:t>
      </w:r>
      <w:r>
        <w:rPr>
          <w:rFonts w:hint="eastAsia" w:ascii="宋体" w:hAnsi="宋体"/>
          <w:kern w:val="0"/>
          <w:szCs w:val="21"/>
          <w:highlight w:val="none"/>
          <w:u w:val="single"/>
        </w:rPr>
        <w:t>时</w:t>
      </w:r>
      <w:r>
        <w:rPr>
          <w:rFonts w:hint="eastAsia" w:ascii="宋体" w:hAnsi="宋体"/>
          <w:kern w:val="0"/>
          <w:szCs w:val="21"/>
          <w:highlight w:val="none"/>
          <w:u w:val="single"/>
          <w:lang w:val="en-US" w:eastAsia="zh-CN"/>
        </w:rPr>
        <w:t>30</w:t>
      </w:r>
      <w:r>
        <w:rPr>
          <w:rFonts w:hint="eastAsia" w:ascii="宋体" w:hAnsi="宋体"/>
          <w:kern w:val="0"/>
          <w:szCs w:val="21"/>
          <w:highlight w:val="none"/>
          <w:u w:val="single"/>
        </w:rPr>
        <w:t>分(北京时间)</w:t>
      </w:r>
    </w:p>
    <w:p>
      <w:pPr>
        <w:adjustRightInd w:val="0"/>
        <w:snapToGrid w:val="0"/>
        <w:spacing w:line="360" w:lineRule="auto"/>
        <w:ind w:firstLine="420" w:firstLineChars="200"/>
        <w:jc w:val="left"/>
        <w:rPr>
          <w:rFonts w:hint="eastAsia" w:ascii="宋体" w:hAnsi="宋体"/>
          <w:kern w:val="0"/>
          <w:szCs w:val="21"/>
          <w:highlight w:val="none"/>
          <w:u w:val="single"/>
        </w:rPr>
      </w:pPr>
      <w:r>
        <w:rPr>
          <w:rFonts w:hint="eastAsia" w:ascii="宋体" w:hAnsi="宋体"/>
          <w:kern w:val="0"/>
          <w:szCs w:val="21"/>
          <w:highlight w:val="none"/>
          <w:u w:val="single"/>
        </w:rPr>
        <w:t>（2）现场递交地点：鹤庆县公共资源交易中心；</w:t>
      </w:r>
      <w:bookmarkStart w:id="1" w:name="_GoBack"/>
      <w:bookmarkEnd w:id="1"/>
    </w:p>
    <w:p>
      <w:pPr>
        <w:adjustRightInd w:val="0"/>
        <w:snapToGrid w:val="0"/>
        <w:spacing w:line="360" w:lineRule="auto"/>
        <w:ind w:firstLine="420" w:firstLineChars="200"/>
        <w:jc w:val="left"/>
        <w:rPr>
          <w:rFonts w:hint="eastAsia" w:ascii="宋体" w:hAnsi="宋体"/>
          <w:kern w:val="0"/>
          <w:szCs w:val="21"/>
          <w:highlight w:val="none"/>
          <w:u w:val="single"/>
        </w:rPr>
      </w:pPr>
      <w:r>
        <w:rPr>
          <w:rFonts w:hint="eastAsia" w:ascii="宋体" w:hAnsi="宋体"/>
          <w:kern w:val="0"/>
          <w:szCs w:val="21"/>
          <w:highlight w:val="none"/>
          <w:u w:val="single"/>
        </w:rPr>
        <w:t>（3）根据《云南省发展和改革委员会关于贯彻落实积极应对疫情创新做好招投标工作保障经济平稳运行有关要求的通知》（云发改办招投标〔2020〕108号）、《云南省公共资源交易中心关于推行网上开标的通知》的相关要求，投标人可以根据自身情况，选择以下任意一种方式参加投标：</w:t>
      </w:r>
    </w:p>
    <w:p>
      <w:pPr>
        <w:adjustRightInd w:val="0"/>
        <w:snapToGrid w:val="0"/>
        <w:spacing w:line="360" w:lineRule="auto"/>
        <w:ind w:firstLine="420" w:firstLineChars="200"/>
        <w:jc w:val="left"/>
        <w:rPr>
          <w:rFonts w:hint="eastAsia" w:ascii="宋体" w:hAnsi="宋体"/>
          <w:kern w:val="0"/>
          <w:szCs w:val="21"/>
          <w:highlight w:val="none"/>
          <w:u w:val="single"/>
        </w:rPr>
      </w:pPr>
      <w:r>
        <w:rPr>
          <w:rFonts w:hint="eastAsia" w:ascii="宋体" w:hAnsi="宋体"/>
          <w:kern w:val="0"/>
          <w:szCs w:val="21"/>
          <w:highlight w:val="none"/>
          <w:u w:val="single"/>
        </w:rPr>
        <w:t xml:space="preserve">    方式一：电子化智能开标。投标人登录</w:t>
      </w:r>
      <w:r>
        <w:rPr>
          <w:rFonts w:hint="eastAsia" w:ascii="宋体" w:hAnsi="宋体"/>
          <w:kern w:val="0"/>
          <w:szCs w:val="21"/>
          <w:highlight w:val="none"/>
          <w:u w:val="single"/>
          <w:lang w:eastAsia="zh-CN"/>
        </w:rPr>
        <w:t>云南省公共资源交易信息网（大理州）</w:t>
      </w:r>
      <w:r>
        <w:rPr>
          <w:rFonts w:hint="eastAsia" w:ascii="宋体" w:hAnsi="宋体"/>
          <w:kern w:val="0"/>
          <w:szCs w:val="21"/>
          <w:highlight w:val="none"/>
          <w:u w:val="single"/>
        </w:rPr>
        <w:t>，详见用户手册，按照网上智能开标远程解密操作指南（投标人）完成远程解密、查看开标一览表等相关操作。若投标人未在规定时间内完成解密，则视为撤销其投标文件，不再进入评标阶段。开标过程中如有问题，可以在线提出异议，由代理机构给予对应的回复。</w:t>
      </w:r>
    </w:p>
    <w:p>
      <w:pPr>
        <w:adjustRightInd w:val="0"/>
        <w:snapToGrid w:val="0"/>
        <w:spacing w:line="360" w:lineRule="auto"/>
        <w:ind w:firstLine="420" w:firstLineChars="200"/>
        <w:jc w:val="left"/>
        <w:rPr>
          <w:rFonts w:hint="eastAsia" w:ascii="宋体" w:hAnsi="宋体"/>
          <w:kern w:val="0"/>
          <w:szCs w:val="21"/>
          <w:highlight w:val="none"/>
          <w:u w:val="single"/>
        </w:rPr>
      </w:pPr>
      <w:r>
        <w:rPr>
          <w:rFonts w:hint="eastAsia" w:ascii="宋体" w:hAnsi="宋体"/>
          <w:kern w:val="0"/>
          <w:szCs w:val="21"/>
          <w:highlight w:val="none"/>
          <w:u w:val="single"/>
        </w:rPr>
        <w:t xml:space="preserve">    方式二：现场开标现场解密。（鹤庆县公共资源交易中心）开标时，投标人代表须携带“企业数字证书”按规定的时间、地点参加开标会议，在投标截止时间前用加密的数字证书（CA）进行现场解密，读取或导入投标文件，因投标人原因造成投标文件未解密的，视为撤回其投标文件。逾期送达或者未送达指定地点的投标文件，招标人不予受理。</w:t>
      </w:r>
    </w:p>
    <w:p>
      <w:pPr>
        <w:adjustRightInd w:val="0"/>
        <w:snapToGrid w:val="0"/>
        <w:spacing w:line="360" w:lineRule="auto"/>
        <w:ind w:firstLine="420" w:firstLineChars="200"/>
        <w:jc w:val="left"/>
        <w:rPr>
          <w:rFonts w:ascii="宋体" w:hAnsi="宋体"/>
          <w:kern w:val="0"/>
          <w:szCs w:val="28"/>
          <w:highlight w:val="none"/>
        </w:rPr>
      </w:pPr>
      <w:r>
        <w:rPr>
          <w:rFonts w:hint="eastAsia" w:ascii="宋体" w:hAnsi="宋体"/>
          <w:kern w:val="0"/>
          <w:szCs w:val="21"/>
          <w:highlight w:val="none"/>
          <w:u w:val="single"/>
        </w:rPr>
        <w:t>注：建议投标单位上传完成后，将已上传的电子投标文件重新下载下来，用对应类型的编制工具或标书查看工具进行解密查看，确保上传的文件可以正常解密打开</w:t>
      </w:r>
      <w:r>
        <w:rPr>
          <w:rFonts w:hint="eastAsia" w:ascii="宋体" w:hAnsi="宋体"/>
          <w:kern w:val="0"/>
          <w:szCs w:val="28"/>
          <w:highlight w:val="none"/>
        </w:rPr>
        <w:t>。</w:t>
      </w:r>
    </w:p>
    <w:p>
      <w:pPr>
        <w:adjustRightInd w:val="0"/>
        <w:snapToGrid w:val="0"/>
        <w:spacing w:line="360" w:lineRule="auto"/>
        <w:jc w:val="left"/>
        <w:rPr>
          <w:rFonts w:ascii="宋体" w:hAnsi="宋体"/>
          <w:b/>
          <w:sz w:val="32"/>
          <w:szCs w:val="32"/>
          <w:highlight w:val="none"/>
        </w:rPr>
      </w:pPr>
      <w:r>
        <w:rPr>
          <w:rFonts w:hint="eastAsia" w:ascii="宋体" w:hAnsi="宋体"/>
          <w:b/>
          <w:sz w:val="32"/>
          <w:szCs w:val="32"/>
          <w:highlight w:val="none"/>
        </w:rPr>
        <w:t>7.发布公告的媒介</w:t>
      </w:r>
    </w:p>
    <w:p>
      <w:pPr>
        <w:adjustRightInd w:val="0"/>
        <w:snapToGrid w:val="0"/>
        <w:spacing w:line="360" w:lineRule="auto"/>
        <w:ind w:firstLine="420" w:firstLineChars="200"/>
        <w:jc w:val="left"/>
        <w:rPr>
          <w:rFonts w:ascii="宋体" w:hAnsi="宋体"/>
          <w:kern w:val="0"/>
          <w:highlight w:val="none"/>
        </w:rPr>
      </w:pPr>
      <w:r>
        <w:rPr>
          <w:rFonts w:hint="eastAsia" w:ascii="宋体" w:hAnsi="宋体"/>
          <w:kern w:val="0"/>
          <w:highlight w:val="none"/>
        </w:rPr>
        <w:t>本次招标公告同时在</w:t>
      </w:r>
      <w:r>
        <w:rPr>
          <w:rFonts w:hint="eastAsia"/>
          <w:highlight w:val="none"/>
        </w:rPr>
        <w:t>云南省公共资源交易信息网（</w:t>
      </w:r>
      <w:r>
        <w:rPr>
          <w:highlight w:val="none"/>
        </w:rPr>
        <w:t>http://ggzy.yn.gov.cn/</w:t>
      </w:r>
      <w:r>
        <w:rPr>
          <w:rFonts w:hint="eastAsia"/>
          <w:highlight w:val="none"/>
        </w:rPr>
        <w:t>）及</w:t>
      </w:r>
      <w:r>
        <w:rPr>
          <w:rFonts w:hint="eastAsia" w:ascii="宋体" w:hAnsi="宋体"/>
          <w:kern w:val="0"/>
          <w:highlight w:val="none"/>
          <w:u w:val="single"/>
          <w:lang w:eastAsia="zh-CN"/>
        </w:rPr>
        <w:t>云南省公共资源交易信息网（大理州）（http://116.55.195.71:8001/ynggfwpt-xinxi-web/#/homePage）</w:t>
      </w:r>
      <w:r>
        <w:rPr>
          <w:rFonts w:hint="eastAsia" w:ascii="宋体" w:hAnsi="宋体"/>
          <w:kern w:val="0"/>
          <w:highlight w:val="none"/>
        </w:rPr>
        <w:t>（其他发布公告的媒介全称）上发布。</w:t>
      </w:r>
    </w:p>
    <w:p>
      <w:pPr>
        <w:adjustRightInd w:val="0"/>
        <w:snapToGrid w:val="0"/>
        <w:spacing w:line="360" w:lineRule="auto"/>
        <w:jc w:val="left"/>
        <w:rPr>
          <w:rFonts w:ascii="宋体" w:hAnsi="宋体"/>
          <w:b/>
          <w:sz w:val="32"/>
          <w:szCs w:val="32"/>
          <w:highlight w:val="none"/>
        </w:rPr>
      </w:pPr>
      <w:r>
        <w:rPr>
          <w:rFonts w:hint="eastAsia" w:ascii="宋体" w:hAnsi="宋体"/>
          <w:b/>
          <w:sz w:val="32"/>
          <w:szCs w:val="32"/>
          <w:highlight w:val="none"/>
        </w:rPr>
        <w:t>8</w:t>
      </w:r>
      <w:r>
        <w:rPr>
          <w:rFonts w:ascii="宋体" w:hAnsi="宋体"/>
          <w:b/>
          <w:sz w:val="32"/>
          <w:szCs w:val="32"/>
          <w:highlight w:val="none"/>
        </w:rPr>
        <w:t>.联系方式</w:t>
      </w:r>
    </w:p>
    <w:tbl>
      <w:tblPr>
        <w:tblStyle w:val="4"/>
        <w:tblW w:w="9759" w:type="dxa"/>
        <w:jc w:val="center"/>
        <w:tblLayout w:type="fixed"/>
        <w:tblCellMar>
          <w:top w:w="0" w:type="dxa"/>
          <w:left w:w="108" w:type="dxa"/>
          <w:bottom w:w="0" w:type="dxa"/>
          <w:right w:w="108" w:type="dxa"/>
        </w:tblCellMar>
      </w:tblPr>
      <w:tblGrid>
        <w:gridCol w:w="1279"/>
        <w:gridCol w:w="2865"/>
        <w:gridCol w:w="1722"/>
        <w:gridCol w:w="3893"/>
      </w:tblGrid>
      <w:tr>
        <w:tblPrEx>
          <w:tblCellMar>
            <w:top w:w="0" w:type="dxa"/>
            <w:left w:w="108" w:type="dxa"/>
            <w:bottom w:w="0" w:type="dxa"/>
            <w:right w:w="108" w:type="dxa"/>
          </w:tblCellMar>
        </w:tblPrEx>
        <w:trPr>
          <w:cantSplit/>
          <w:trHeight w:val="641" w:hRule="atLeast"/>
          <w:jc w:val="center"/>
        </w:trPr>
        <w:tc>
          <w:tcPr>
            <w:tcW w:w="1279" w:type="dxa"/>
            <w:shd w:val="clear" w:color="auto" w:fill="auto"/>
            <w:vAlign w:val="center"/>
          </w:tcPr>
          <w:p>
            <w:pPr>
              <w:topLinePunct/>
              <w:adjustRightInd w:val="0"/>
              <w:snapToGrid w:val="0"/>
              <w:spacing w:line="360" w:lineRule="auto"/>
              <w:jc w:val="right"/>
              <w:rPr>
                <w:rFonts w:ascii="宋体" w:hAnsi="宋体"/>
                <w:kern w:val="0"/>
                <w:szCs w:val="21"/>
                <w:highlight w:val="none"/>
              </w:rPr>
            </w:pPr>
            <w:r>
              <w:rPr>
                <w:rFonts w:ascii="宋体" w:hAnsi="宋体"/>
                <w:kern w:val="0"/>
                <w:szCs w:val="21"/>
                <w:highlight w:val="none"/>
              </w:rPr>
              <w:t>招 标 人：</w:t>
            </w:r>
          </w:p>
        </w:tc>
        <w:tc>
          <w:tcPr>
            <w:tcW w:w="2865" w:type="dxa"/>
            <w:shd w:val="clear" w:color="auto" w:fill="auto"/>
            <w:vAlign w:val="center"/>
          </w:tcPr>
          <w:p>
            <w:pPr>
              <w:topLinePunct/>
              <w:adjustRightInd w:val="0"/>
              <w:snapToGrid w:val="0"/>
              <w:spacing w:line="360" w:lineRule="auto"/>
              <w:rPr>
                <w:rFonts w:hint="eastAsia" w:ascii="宋体" w:hAnsi="宋体" w:eastAsia="宋体"/>
                <w:kern w:val="0"/>
                <w:szCs w:val="21"/>
                <w:highlight w:val="none"/>
                <w:lang w:eastAsia="zh-CN"/>
              </w:rPr>
            </w:pPr>
            <w:r>
              <w:rPr>
                <w:rFonts w:hint="eastAsia" w:ascii="宋体" w:hAnsi="宋体"/>
                <w:kern w:val="0"/>
                <w:szCs w:val="21"/>
                <w:highlight w:val="none"/>
                <w:u w:val="single"/>
              </w:rPr>
              <w:fldChar w:fldCharType="begin"/>
            </w:r>
            <w:r>
              <w:rPr>
                <w:rFonts w:hint="eastAsia" w:ascii="宋体" w:hAnsi="宋体"/>
                <w:kern w:val="0"/>
                <w:szCs w:val="21"/>
                <w:highlight w:val="none"/>
                <w:u w:val="single"/>
              </w:rPr>
              <w:instrText xml:space="preserve"> AUTOTEXT  input79 \* MERGEFORMAT </w:instrText>
            </w:r>
            <w:r>
              <w:rPr>
                <w:rFonts w:hint="eastAsia" w:ascii="宋体" w:hAnsi="宋体"/>
                <w:kern w:val="0"/>
                <w:szCs w:val="21"/>
                <w:highlight w:val="none"/>
                <w:u w:val="single"/>
              </w:rPr>
              <w:fldChar w:fldCharType="separate"/>
            </w:r>
            <w:r>
              <w:rPr>
                <w:rFonts w:hint="eastAsia" w:ascii="宋体" w:hAnsi="宋体"/>
                <w:color w:val="000000" w:themeColor="text1"/>
                <w:kern w:val="0"/>
                <w:szCs w:val="21"/>
                <w:highlight w:val="none"/>
                <w:u w:val="single"/>
                <w14:textFill>
                  <w14:solidFill>
                    <w14:schemeClr w14:val="tx1"/>
                  </w14:solidFill>
                </w14:textFill>
              </w:rPr>
              <w:t>鹤庆县金墩乡人民政府</w:t>
            </w:r>
            <w:r>
              <w:rPr>
                <w:rFonts w:hint="eastAsia" w:ascii="宋体" w:hAnsi="宋体"/>
                <w:kern w:val="0"/>
                <w:szCs w:val="21"/>
                <w:highlight w:val="none"/>
                <w:u w:val="single"/>
              </w:rPr>
              <w:fldChar w:fldCharType="end"/>
            </w:r>
          </w:p>
        </w:tc>
        <w:tc>
          <w:tcPr>
            <w:tcW w:w="1722" w:type="dxa"/>
            <w:shd w:val="clear" w:color="auto" w:fill="auto"/>
            <w:vAlign w:val="center"/>
          </w:tcPr>
          <w:p>
            <w:pPr>
              <w:topLinePunct/>
              <w:adjustRightInd w:val="0"/>
              <w:snapToGrid w:val="0"/>
              <w:spacing w:line="360" w:lineRule="auto"/>
              <w:jc w:val="right"/>
              <w:rPr>
                <w:rFonts w:ascii="宋体" w:hAnsi="宋体"/>
                <w:kern w:val="0"/>
                <w:szCs w:val="21"/>
                <w:highlight w:val="none"/>
              </w:rPr>
            </w:pPr>
            <w:r>
              <w:rPr>
                <w:rFonts w:ascii="宋体" w:hAnsi="宋体"/>
                <w:kern w:val="0"/>
                <w:szCs w:val="21"/>
                <w:highlight w:val="none"/>
              </w:rPr>
              <w:t>招标代理机构：</w:t>
            </w:r>
          </w:p>
        </w:tc>
        <w:tc>
          <w:tcPr>
            <w:tcW w:w="3893" w:type="dxa"/>
            <w:shd w:val="clear" w:color="auto" w:fill="auto"/>
            <w:vAlign w:val="center"/>
          </w:tcPr>
          <w:p>
            <w:pPr>
              <w:topLinePunct/>
              <w:adjustRightInd w:val="0"/>
              <w:snapToGrid w:val="0"/>
              <w:spacing w:line="360" w:lineRule="auto"/>
              <w:rPr>
                <w:rFonts w:ascii="宋体" w:hAnsi="宋体"/>
                <w:kern w:val="0"/>
                <w:szCs w:val="21"/>
                <w:highlight w:val="none"/>
              </w:rPr>
            </w:pPr>
            <w:r>
              <w:rPr>
                <w:rFonts w:hint="eastAsia" w:ascii="宋体" w:hAnsi="宋体"/>
                <w:kern w:val="0"/>
                <w:szCs w:val="21"/>
                <w:highlight w:val="none"/>
                <w:u w:val="single"/>
              </w:rPr>
              <w:fldChar w:fldCharType="begin"/>
            </w:r>
            <w:r>
              <w:rPr>
                <w:rFonts w:hint="eastAsia" w:ascii="宋体" w:hAnsi="宋体"/>
                <w:kern w:val="0"/>
                <w:szCs w:val="21"/>
                <w:highlight w:val="none"/>
                <w:u w:val="single"/>
              </w:rPr>
              <w:instrText xml:space="preserve"> AUTOTEXT  input80 \* MERGEFORMAT </w:instrText>
            </w:r>
            <w:r>
              <w:rPr>
                <w:rFonts w:hint="eastAsia" w:ascii="宋体" w:hAnsi="宋体"/>
                <w:kern w:val="0"/>
                <w:szCs w:val="21"/>
                <w:highlight w:val="none"/>
                <w:u w:val="single"/>
              </w:rPr>
              <w:fldChar w:fldCharType="separate"/>
            </w:r>
            <w:r>
              <w:rPr>
                <w:rFonts w:hint="eastAsia" w:ascii="宋体" w:hAnsi="宋体"/>
                <w:color w:val="000000" w:themeColor="text1"/>
                <w:kern w:val="0"/>
                <w:szCs w:val="21"/>
                <w:highlight w:val="none"/>
                <w:u w:val="single"/>
                <w14:textFill>
                  <w14:solidFill>
                    <w14:schemeClr w14:val="tx1"/>
                  </w14:solidFill>
                </w14:textFill>
              </w:rPr>
              <w:t>云南环亚之星招标咨询有限公司</w:t>
            </w:r>
            <w:r>
              <w:rPr>
                <w:rFonts w:hint="eastAsia" w:ascii="宋体" w:hAnsi="宋体"/>
                <w:kern w:val="0"/>
                <w:szCs w:val="21"/>
                <w:highlight w:val="none"/>
                <w:u w:val="single"/>
              </w:rPr>
              <w:fldChar w:fldCharType="end"/>
            </w:r>
          </w:p>
        </w:tc>
      </w:tr>
      <w:tr>
        <w:tblPrEx>
          <w:tblCellMar>
            <w:top w:w="0" w:type="dxa"/>
            <w:left w:w="108" w:type="dxa"/>
            <w:bottom w:w="0" w:type="dxa"/>
            <w:right w:w="108" w:type="dxa"/>
          </w:tblCellMar>
        </w:tblPrEx>
        <w:trPr>
          <w:cantSplit/>
          <w:trHeight w:val="699" w:hRule="atLeast"/>
          <w:jc w:val="center"/>
        </w:trPr>
        <w:tc>
          <w:tcPr>
            <w:tcW w:w="1279" w:type="dxa"/>
            <w:shd w:val="clear" w:color="auto" w:fill="auto"/>
            <w:vAlign w:val="center"/>
          </w:tcPr>
          <w:p>
            <w:pPr>
              <w:topLinePunct/>
              <w:adjustRightInd w:val="0"/>
              <w:snapToGrid w:val="0"/>
              <w:spacing w:line="360" w:lineRule="auto"/>
              <w:jc w:val="right"/>
              <w:rPr>
                <w:rFonts w:ascii="宋体" w:hAnsi="宋体"/>
                <w:kern w:val="0"/>
                <w:szCs w:val="21"/>
                <w:highlight w:val="none"/>
              </w:rPr>
            </w:pPr>
            <w:r>
              <w:rPr>
                <w:rFonts w:ascii="宋体" w:hAnsi="宋体"/>
                <w:kern w:val="0"/>
                <w:szCs w:val="21"/>
                <w:highlight w:val="none"/>
              </w:rPr>
              <w:t>地    址：</w:t>
            </w:r>
          </w:p>
        </w:tc>
        <w:tc>
          <w:tcPr>
            <w:tcW w:w="2865" w:type="dxa"/>
            <w:shd w:val="clear" w:color="auto" w:fill="auto"/>
            <w:vAlign w:val="center"/>
          </w:tcPr>
          <w:p>
            <w:pPr>
              <w:topLinePunct/>
              <w:adjustRightInd w:val="0"/>
              <w:snapToGrid w:val="0"/>
              <w:spacing w:line="360" w:lineRule="auto"/>
              <w:rPr>
                <w:rFonts w:ascii="宋体" w:hAnsi="宋体"/>
                <w:kern w:val="0"/>
                <w:szCs w:val="21"/>
                <w:highlight w:val="none"/>
              </w:rPr>
            </w:pPr>
            <w:r>
              <w:rPr>
                <w:rFonts w:hint="eastAsia" w:ascii="宋体" w:hAnsi="宋体"/>
                <w:kern w:val="0"/>
                <w:szCs w:val="21"/>
                <w:highlight w:val="none"/>
                <w:u w:val="single"/>
              </w:rPr>
              <w:fldChar w:fldCharType="begin"/>
            </w:r>
            <w:r>
              <w:rPr>
                <w:rFonts w:hint="eastAsia" w:ascii="宋体" w:hAnsi="宋体"/>
                <w:kern w:val="0"/>
                <w:szCs w:val="21"/>
                <w:highlight w:val="none"/>
                <w:u w:val="single"/>
              </w:rPr>
              <w:instrText xml:space="preserve"> AUTOTEXT  input81 \* MERGEFORMAT </w:instrText>
            </w:r>
            <w:r>
              <w:rPr>
                <w:rFonts w:hint="eastAsia" w:ascii="宋体" w:hAnsi="宋体"/>
                <w:kern w:val="0"/>
                <w:szCs w:val="21"/>
                <w:highlight w:val="none"/>
                <w:u w:val="single"/>
              </w:rPr>
              <w:fldChar w:fldCharType="separate"/>
            </w:r>
            <w:r>
              <w:rPr>
                <w:rFonts w:hint="eastAsia" w:ascii="宋体" w:hAnsi="宋体"/>
                <w:color w:val="000000" w:themeColor="text1"/>
                <w:kern w:val="0"/>
                <w:szCs w:val="21"/>
                <w:highlight w:val="none"/>
                <w:u w:val="single"/>
                <w14:textFill>
                  <w14:solidFill>
                    <w14:schemeClr w14:val="tx1"/>
                  </w14:solidFill>
                </w14:textFill>
              </w:rPr>
              <w:t>鹤庆县金墩乡乡级机关1号</w:t>
            </w:r>
            <w:r>
              <w:rPr>
                <w:rFonts w:hint="eastAsia" w:ascii="宋体" w:hAnsi="宋体"/>
                <w:kern w:val="0"/>
                <w:szCs w:val="21"/>
                <w:highlight w:val="none"/>
                <w:u w:val="single"/>
              </w:rPr>
              <w:fldChar w:fldCharType="end"/>
            </w:r>
          </w:p>
        </w:tc>
        <w:tc>
          <w:tcPr>
            <w:tcW w:w="1722" w:type="dxa"/>
            <w:shd w:val="clear" w:color="auto" w:fill="auto"/>
            <w:vAlign w:val="center"/>
          </w:tcPr>
          <w:p>
            <w:pPr>
              <w:topLinePunct/>
              <w:adjustRightInd w:val="0"/>
              <w:snapToGrid w:val="0"/>
              <w:spacing w:line="360" w:lineRule="auto"/>
              <w:jc w:val="right"/>
              <w:rPr>
                <w:rFonts w:ascii="宋体" w:hAnsi="宋体"/>
                <w:kern w:val="0"/>
                <w:szCs w:val="21"/>
                <w:highlight w:val="none"/>
              </w:rPr>
            </w:pPr>
            <w:r>
              <w:rPr>
                <w:rFonts w:ascii="宋体" w:hAnsi="宋体"/>
                <w:kern w:val="0"/>
                <w:szCs w:val="21"/>
                <w:highlight w:val="none"/>
              </w:rPr>
              <w:t>地    址：</w:t>
            </w:r>
          </w:p>
        </w:tc>
        <w:tc>
          <w:tcPr>
            <w:tcW w:w="3893" w:type="dxa"/>
            <w:shd w:val="clear" w:color="auto" w:fill="auto"/>
            <w:vAlign w:val="center"/>
          </w:tcPr>
          <w:p>
            <w:pPr>
              <w:topLinePunct/>
              <w:adjustRightInd w:val="0"/>
              <w:snapToGrid w:val="0"/>
              <w:spacing w:line="360" w:lineRule="auto"/>
              <w:rPr>
                <w:rFonts w:ascii="宋体" w:hAnsi="宋体"/>
                <w:kern w:val="0"/>
                <w:szCs w:val="21"/>
                <w:highlight w:val="none"/>
              </w:rPr>
            </w:pPr>
            <w:r>
              <w:rPr>
                <w:rFonts w:hint="eastAsia" w:ascii="宋体" w:hAnsi="宋体"/>
                <w:kern w:val="0"/>
                <w:szCs w:val="21"/>
                <w:highlight w:val="none"/>
                <w:u w:val="single"/>
              </w:rPr>
              <w:fldChar w:fldCharType="begin"/>
            </w:r>
            <w:r>
              <w:rPr>
                <w:rFonts w:hint="eastAsia" w:ascii="宋体" w:hAnsi="宋体"/>
                <w:kern w:val="0"/>
                <w:szCs w:val="21"/>
                <w:highlight w:val="none"/>
                <w:u w:val="single"/>
              </w:rPr>
              <w:instrText xml:space="preserve"> AUTOTEXT  input82 \* MERGEFORMAT </w:instrText>
            </w:r>
            <w:r>
              <w:rPr>
                <w:rFonts w:hint="eastAsia" w:ascii="宋体" w:hAnsi="宋体"/>
                <w:kern w:val="0"/>
                <w:szCs w:val="21"/>
                <w:highlight w:val="none"/>
                <w:u w:val="single"/>
              </w:rPr>
              <w:fldChar w:fldCharType="separate"/>
            </w:r>
            <w:r>
              <w:rPr>
                <w:rFonts w:hint="eastAsia" w:ascii="宋体" w:hAnsi="宋体"/>
                <w:color w:val="000000" w:themeColor="text1"/>
                <w:kern w:val="0"/>
                <w:szCs w:val="21"/>
                <w:highlight w:val="none"/>
                <w:u w:val="single"/>
                <w14:textFill>
                  <w14:solidFill>
                    <w14:schemeClr w14:val="tx1"/>
                  </w14:solidFill>
                </w14:textFill>
              </w:rPr>
              <w:t>大理市太和街道办事处洱海庄园66栋三单元302室</w:t>
            </w:r>
            <w:r>
              <w:rPr>
                <w:rFonts w:hint="eastAsia" w:ascii="宋体" w:hAnsi="宋体"/>
                <w:kern w:val="0"/>
                <w:szCs w:val="21"/>
                <w:highlight w:val="none"/>
                <w:u w:val="single"/>
              </w:rPr>
              <w:fldChar w:fldCharType="end"/>
            </w:r>
          </w:p>
        </w:tc>
      </w:tr>
      <w:tr>
        <w:tblPrEx>
          <w:tblCellMar>
            <w:top w:w="0" w:type="dxa"/>
            <w:left w:w="108" w:type="dxa"/>
            <w:bottom w:w="0" w:type="dxa"/>
            <w:right w:w="108" w:type="dxa"/>
          </w:tblCellMar>
        </w:tblPrEx>
        <w:trPr>
          <w:cantSplit/>
          <w:trHeight w:val="349" w:hRule="atLeast"/>
          <w:jc w:val="center"/>
        </w:trPr>
        <w:tc>
          <w:tcPr>
            <w:tcW w:w="1279" w:type="dxa"/>
            <w:shd w:val="clear" w:color="auto" w:fill="auto"/>
            <w:vAlign w:val="center"/>
          </w:tcPr>
          <w:p>
            <w:pPr>
              <w:topLinePunct/>
              <w:adjustRightInd w:val="0"/>
              <w:snapToGrid w:val="0"/>
              <w:spacing w:line="360" w:lineRule="auto"/>
              <w:jc w:val="right"/>
              <w:rPr>
                <w:rFonts w:ascii="宋体" w:hAnsi="宋体"/>
                <w:kern w:val="0"/>
                <w:szCs w:val="21"/>
                <w:highlight w:val="none"/>
              </w:rPr>
            </w:pPr>
            <w:r>
              <w:rPr>
                <w:rFonts w:ascii="宋体" w:hAnsi="宋体"/>
                <w:kern w:val="0"/>
                <w:szCs w:val="21"/>
                <w:highlight w:val="none"/>
              </w:rPr>
              <w:t>邮    编：</w:t>
            </w:r>
          </w:p>
        </w:tc>
        <w:tc>
          <w:tcPr>
            <w:tcW w:w="2865" w:type="dxa"/>
            <w:shd w:val="clear" w:color="auto" w:fill="auto"/>
            <w:vAlign w:val="center"/>
          </w:tcPr>
          <w:p>
            <w:pPr>
              <w:topLinePunct/>
              <w:adjustRightInd w:val="0"/>
              <w:snapToGrid w:val="0"/>
              <w:spacing w:line="360" w:lineRule="auto"/>
              <w:rPr>
                <w:rFonts w:ascii="宋体" w:hAnsi="宋体"/>
                <w:kern w:val="0"/>
                <w:szCs w:val="21"/>
                <w:highlight w:val="none"/>
              </w:rPr>
            </w:pPr>
            <w:r>
              <w:rPr>
                <w:rFonts w:hint="eastAsia" w:ascii="宋体" w:hAnsi="宋体"/>
                <w:kern w:val="0"/>
                <w:szCs w:val="21"/>
                <w:highlight w:val="none"/>
                <w:u w:val="single"/>
              </w:rPr>
              <w:fldChar w:fldCharType="begin"/>
            </w:r>
            <w:r>
              <w:rPr>
                <w:rFonts w:hint="eastAsia" w:ascii="宋体" w:hAnsi="宋体"/>
                <w:kern w:val="0"/>
                <w:szCs w:val="21"/>
                <w:highlight w:val="none"/>
                <w:u w:val="single"/>
              </w:rPr>
              <w:instrText xml:space="preserve"> AUTOTEXT  input83 \* MERGEFORMAT </w:instrText>
            </w:r>
            <w:r>
              <w:rPr>
                <w:rFonts w:hint="eastAsia" w:ascii="宋体" w:hAnsi="宋体"/>
                <w:kern w:val="0"/>
                <w:szCs w:val="21"/>
                <w:highlight w:val="none"/>
                <w:u w:val="single"/>
              </w:rPr>
              <w:fldChar w:fldCharType="separate"/>
            </w:r>
            <w:r>
              <w:rPr>
                <w:rFonts w:hint="eastAsia" w:ascii="宋体" w:hAnsi="宋体"/>
                <w:color w:val="000000" w:themeColor="text1"/>
                <w:kern w:val="0"/>
                <w:szCs w:val="21"/>
                <w:highlight w:val="none"/>
                <w:u w:val="single"/>
                <w14:textFill>
                  <w14:solidFill>
                    <w14:schemeClr w14:val="tx1"/>
                  </w14:solidFill>
                </w14:textFill>
              </w:rPr>
              <w:t>671501</w:t>
            </w:r>
            <w:r>
              <w:rPr>
                <w:rFonts w:hint="eastAsia" w:ascii="宋体" w:hAnsi="宋体"/>
                <w:kern w:val="0"/>
                <w:szCs w:val="21"/>
                <w:highlight w:val="none"/>
                <w:u w:val="single"/>
              </w:rPr>
              <w:fldChar w:fldCharType="end"/>
            </w:r>
          </w:p>
        </w:tc>
        <w:tc>
          <w:tcPr>
            <w:tcW w:w="1722" w:type="dxa"/>
            <w:shd w:val="clear" w:color="auto" w:fill="auto"/>
            <w:vAlign w:val="center"/>
          </w:tcPr>
          <w:p>
            <w:pPr>
              <w:topLinePunct/>
              <w:adjustRightInd w:val="0"/>
              <w:snapToGrid w:val="0"/>
              <w:spacing w:line="360" w:lineRule="auto"/>
              <w:jc w:val="right"/>
              <w:rPr>
                <w:rFonts w:ascii="宋体" w:hAnsi="宋体"/>
                <w:kern w:val="0"/>
                <w:szCs w:val="21"/>
                <w:highlight w:val="none"/>
              </w:rPr>
            </w:pPr>
            <w:r>
              <w:rPr>
                <w:rFonts w:ascii="宋体" w:hAnsi="宋体"/>
                <w:kern w:val="0"/>
                <w:szCs w:val="21"/>
                <w:highlight w:val="none"/>
              </w:rPr>
              <w:t>邮    编：</w:t>
            </w:r>
          </w:p>
        </w:tc>
        <w:tc>
          <w:tcPr>
            <w:tcW w:w="3893" w:type="dxa"/>
            <w:shd w:val="clear" w:color="auto" w:fill="auto"/>
            <w:vAlign w:val="center"/>
          </w:tcPr>
          <w:p>
            <w:pPr>
              <w:topLinePunct/>
              <w:adjustRightInd w:val="0"/>
              <w:snapToGrid w:val="0"/>
              <w:spacing w:line="360" w:lineRule="auto"/>
              <w:rPr>
                <w:rFonts w:ascii="宋体" w:hAnsi="宋体"/>
                <w:kern w:val="0"/>
                <w:szCs w:val="21"/>
                <w:highlight w:val="none"/>
              </w:rPr>
            </w:pPr>
            <w:r>
              <w:rPr>
                <w:rFonts w:hint="eastAsia" w:ascii="宋体" w:hAnsi="宋体"/>
                <w:kern w:val="0"/>
                <w:szCs w:val="21"/>
                <w:highlight w:val="none"/>
                <w:u w:val="single"/>
              </w:rPr>
              <w:fldChar w:fldCharType="begin"/>
            </w:r>
            <w:r>
              <w:rPr>
                <w:rFonts w:hint="eastAsia" w:ascii="宋体" w:hAnsi="宋体"/>
                <w:kern w:val="0"/>
                <w:szCs w:val="21"/>
                <w:highlight w:val="none"/>
                <w:u w:val="single"/>
              </w:rPr>
              <w:instrText xml:space="preserve"> AUTOTEXT  input84 \* MERGEFORMAT </w:instrText>
            </w:r>
            <w:r>
              <w:rPr>
                <w:rFonts w:hint="eastAsia" w:ascii="宋体" w:hAnsi="宋体"/>
                <w:kern w:val="0"/>
                <w:szCs w:val="21"/>
                <w:highlight w:val="none"/>
                <w:u w:val="single"/>
              </w:rPr>
              <w:fldChar w:fldCharType="separate"/>
            </w:r>
            <w:r>
              <w:rPr>
                <w:rFonts w:hint="eastAsia" w:ascii="宋体" w:hAnsi="宋体"/>
                <w:color w:val="000000" w:themeColor="text1"/>
                <w:kern w:val="0"/>
                <w:szCs w:val="21"/>
                <w:highlight w:val="none"/>
                <w:u w:val="single"/>
                <w14:textFill>
                  <w14:solidFill>
                    <w14:schemeClr w14:val="tx1"/>
                  </w14:solidFill>
                </w14:textFill>
              </w:rPr>
              <w:t>671000</w:t>
            </w:r>
            <w:r>
              <w:rPr>
                <w:rFonts w:hint="eastAsia" w:ascii="宋体" w:hAnsi="宋体"/>
                <w:kern w:val="0"/>
                <w:szCs w:val="21"/>
                <w:highlight w:val="none"/>
                <w:u w:val="single"/>
              </w:rPr>
              <w:fldChar w:fldCharType="end"/>
            </w:r>
          </w:p>
        </w:tc>
      </w:tr>
      <w:tr>
        <w:tblPrEx>
          <w:tblCellMar>
            <w:top w:w="0" w:type="dxa"/>
            <w:left w:w="108" w:type="dxa"/>
            <w:bottom w:w="0" w:type="dxa"/>
            <w:right w:w="108" w:type="dxa"/>
          </w:tblCellMar>
        </w:tblPrEx>
        <w:trPr>
          <w:cantSplit/>
          <w:trHeight w:val="349" w:hRule="atLeast"/>
          <w:jc w:val="center"/>
        </w:trPr>
        <w:tc>
          <w:tcPr>
            <w:tcW w:w="1279" w:type="dxa"/>
            <w:shd w:val="clear" w:color="auto" w:fill="auto"/>
            <w:vAlign w:val="center"/>
          </w:tcPr>
          <w:p>
            <w:pPr>
              <w:topLinePunct/>
              <w:adjustRightInd w:val="0"/>
              <w:snapToGrid w:val="0"/>
              <w:spacing w:line="360" w:lineRule="auto"/>
              <w:jc w:val="right"/>
              <w:rPr>
                <w:rFonts w:ascii="宋体" w:hAnsi="宋体"/>
                <w:kern w:val="0"/>
                <w:szCs w:val="21"/>
                <w:highlight w:val="none"/>
              </w:rPr>
            </w:pPr>
            <w:r>
              <w:rPr>
                <w:rFonts w:ascii="宋体" w:hAnsi="宋体"/>
                <w:kern w:val="0"/>
                <w:szCs w:val="21"/>
                <w:highlight w:val="none"/>
              </w:rPr>
              <w:t>联 系 人：</w:t>
            </w:r>
          </w:p>
        </w:tc>
        <w:tc>
          <w:tcPr>
            <w:tcW w:w="2865" w:type="dxa"/>
            <w:shd w:val="clear" w:color="auto" w:fill="auto"/>
            <w:vAlign w:val="center"/>
          </w:tcPr>
          <w:p>
            <w:pPr>
              <w:topLinePunct/>
              <w:adjustRightInd w:val="0"/>
              <w:snapToGrid w:val="0"/>
              <w:spacing w:line="360" w:lineRule="auto"/>
              <w:rPr>
                <w:rFonts w:ascii="宋体" w:hAnsi="宋体"/>
                <w:kern w:val="0"/>
                <w:szCs w:val="21"/>
                <w:highlight w:val="none"/>
              </w:rPr>
            </w:pPr>
            <w:r>
              <w:rPr>
                <w:rFonts w:hint="eastAsia" w:ascii="宋体" w:hAnsi="宋体"/>
                <w:kern w:val="0"/>
                <w:szCs w:val="21"/>
                <w:highlight w:val="none"/>
                <w:u w:val="single"/>
              </w:rPr>
              <w:fldChar w:fldCharType="begin"/>
            </w:r>
            <w:r>
              <w:rPr>
                <w:rFonts w:hint="eastAsia" w:ascii="宋体" w:hAnsi="宋体"/>
                <w:kern w:val="0"/>
                <w:szCs w:val="21"/>
                <w:highlight w:val="none"/>
                <w:u w:val="single"/>
              </w:rPr>
              <w:instrText xml:space="preserve"> AUTOTEXT  input85 \* MERGEFORMAT </w:instrText>
            </w:r>
            <w:r>
              <w:rPr>
                <w:rFonts w:hint="eastAsia" w:ascii="宋体" w:hAnsi="宋体"/>
                <w:kern w:val="0"/>
                <w:szCs w:val="21"/>
                <w:highlight w:val="none"/>
                <w:u w:val="single"/>
              </w:rPr>
              <w:fldChar w:fldCharType="separate"/>
            </w:r>
            <w:r>
              <w:rPr>
                <w:rFonts w:hint="eastAsia" w:ascii="宋体" w:hAnsi="宋体"/>
                <w:color w:val="000000" w:themeColor="text1"/>
                <w:kern w:val="0"/>
                <w:szCs w:val="21"/>
                <w:highlight w:val="none"/>
                <w:u w:val="single"/>
                <w14:textFill>
                  <w14:solidFill>
                    <w14:schemeClr w14:val="tx1"/>
                  </w14:solidFill>
                </w14:textFill>
              </w:rPr>
              <w:t>杨工</w:t>
            </w:r>
            <w:r>
              <w:rPr>
                <w:rFonts w:hint="eastAsia" w:ascii="宋体" w:hAnsi="宋体"/>
                <w:kern w:val="0"/>
                <w:szCs w:val="21"/>
                <w:highlight w:val="none"/>
                <w:u w:val="single"/>
              </w:rPr>
              <w:fldChar w:fldCharType="end"/>
            </w:r>
          </w:p>
        </w:tc>
        <w:tc>
          <w:tcPr>
            <w:tcW w:w="1722" w:type="dxa"/>
            <w:shd w:val="clear" w:color="auto" w:fill="auto"/>
            <w:vAlign w:val="center"/>
          </w:tcPr>
          <w:p>
            <w:pPr>
              <w:topLinePunct/>
              <w:adjustRightInd w:val="0"/>
              <w:snapToGrid w:val="0"/>
              <w:spacing w:line="360" w:lineRule="auto"/>
              <w:jc w:val="right"/>
              <w:rPr>
                <w:rFonts w:ascii="宋体" w:hAnsi="宋体"/>
                <w:kern w:val="0"/>
                <w:szCs w:val="21"/>
                <w:highlight w:val="none"/>
              </w:rPr>
            </w:pPr>
            <w:r>
              <w:rPr>
                <w:rFonts w:ascii="宋体" w:hAnsi="宋体"/>
                <w:kern w:val="0"/>
                <w:szCs w:val="21"/>
                <w:highlight w:val="none"/>
              </w:rPr>
              <w:t>联 系 人：</w:t>
            </w:r>
          </w:p>
        </w:tc>
        <w:tc>
          <w:tcPr>
            <w:tcW w:w="3893" w:type="dxa"/>
            <w:shd w:val="clear" w:color="auto" w:fill="auto"/>
            <w:vAlign w:val="center"/>
          </w:tcPr>
          <w:p>
            <w:pPr>
              <w:topLinePunct/>
              <w:adjustRightInd w:val="0"/>
              <w:snapToGrid w:val="0"/>
              <w:spacing w:line="360" w:lineRule="auto"/>
              <w:rPr>
                <w:rFonts w:ascii="宋体" w:hAnsi="宋体"/>
                <w:kern w:val="0"/>
                <w:szCs w:val="21"/>
                <w:highlight w:val="none"/>
              </w:rPr>
            </w:pPr>
            <w:r>
              <w:rPr>
                <w:rFonts w:hint="eastAsia" w:ascii="宋体" w:hAnsi="宋体"/>
                <w:kern w:val="0"/>
                <w:szCs w:val="21"/>
                <w:highlight w:val="none"/>
                <w:u w:val="single"/>
              </w:rPr>
              <w:fldChar w:fldCharType="begin"/>
            </w:r>
            <w:r>
              <w:rPr>
                <w:rFonts w:hint="eastAsia" w:ascii="宋体" w:hAnsi="宋体"/>
                <w:kern w:val="0"/>
                <w:szCs w:val="21"/>
                <w:highlight w:val="none"/>
                <w:u w:val="single"/>
              </w:rPr>
              <w:instrText xml:space="preserve"> AUTOTEXT  input86 \* MERGEFORMAT </w:instrText>
            </w:r>
            <w:r>
              <w:rPr>
                <w:rFonts w:hint="eastAsia" w:ascii="宋体" w:hAnsi="宋体"/>
                <w:kern w:val="0"/>
                <w:szCs w:val="21"/>
                <w:highlight w:val="none"/>
                <w:u w:val="single"/>
              </w:rPr>
              <w:fldChar w:fldCharType="separate"/>
            </w:r>
            <w:r>
              <w:rPr>
                <w:rFonts w:hint="eastAsia" w:ascii="宋体" w:hAnsi="宋体"/>
                <w:color w:val="000000" w:themeColor="text1"/>
                <w:kern w:val="0"/>
                <w:szCs w:val="21"/>
                <w:highlight w:val="none"/>
                <w:u w:val="single"/>
                <w14:textFill>
                  <w14:solidFill>
                    <w14:schemeClr w14:val="tx1"/>
                  </w14:solidFill>
                </w14:textFill>
              </w:rPr>
              <w:t>马孟</w:t>
            </w:r>
            <w:r>
              <w:rPr>
                <w:rFonts w:hint="eastAsia" w:ascii="宋体" w:hAnsi="宋体"/>
                <w:kern w:val="0"/>
                <w:szCs w:val="21"/>
                <w:highlight w:val="none"/>
                <w:u w:val="single"/>
              </w:rPr>
              <w:fldChar w:fldCharType="end"/>
            </w:r>
          </w:p>
        </w:tc>
      </w:tr>
      <w:tr>
        <w:tblPrEx>
          <w:tblCellMar>
            <w:top w:w="0" w:type="dxa"/>
            <w:left w:w="108" w:type="dxa"/>
            <w:bottom w:w="0" w:type="dxa"/>
            <w:right w:w="108" w:type="dxa"/>
          </w:tblCellMar>
        </w:tblPrEx>
        <w:trPr>
          <w:cantSplit/>
          <w:trHeight w:val="349" w:hRule="atLeast"/>
          <w:jc w:val="center"/>
        </w:trPr>
        <w:tc>
          <w:tcPr>
            <w:tcW w:w="1279" w:type="dxa"/>
            <w:shd w:val="clear" w:color="auto" w:fill="auto"/>
            <w:vAlign w:val="center"/>
          </w:tcPr>
          <w:p>
            <w:pPr>
              <w:topLinePunct/>
              <w:adjustRightInd w:val="0"/>
              <w:snapToGrid w:val="0"/>
              <w:spacing w:line="360" w:lineRule="auto"/>
              <w:jc w:val="right"/>
              <w:rPr>
                <w:rFonts w:ascii="宋体" w:hAnsi="宋体"/>
                <w:kern w:val="0"/>
                <w:szCs w:val="21"/>
                <w:highlight w:val="none"/>
              </w:rPr>
            </w:pPr>
            <w:r>
              <w:rPr>
                <w:rFonts w:ascii="宋体" w:hAnsi="宋体"/>
                <w:kern w:val="0"/>
                <w:szCs w:val="21"/>
                <w:highlight w:val="none"/>
              </w:rPr>
              <w:t>电    话：</w:t>
            </w:r>
          </w:p>
        </w:tc>
        <w:tc>
          <w:tcPr>
            <w:tcW w:w="2865" w:type="dxa"/>
            <w:shd w:val="clear" w:color="auto" w:fill="auto"/>
            <w:vAlign w:val="center"/>
          </w:tcPr>
          <w:p>
            <w:pPr>
              <w:topLinePunct/>
              <w:adjustRightInd w:val="0"/>
              <w:snapToGrid w:val="0"/>
              <w:spacing w:line="360" w:lineRule="auto"/>
              <w:rPr>
                <w:rFonts w:ascii="宋体" w:hAnsi="宋体"/>
                <w:kern w:val="0"/>
                <w:szCs w:val="21"/>
                <w:highlight w:val="none"/>
              </w:rPr>
            </w:pPr>
            <w:r>
              <w:rPr>
                <w:rFonts w:hint="eastAsia" w:ascii="宋体" w:hAnsi="宋体"/>
                <w:kern w:val="0"/>
                <w:szCs w:val="21"/>
                <w:highlight w:val="none"/>
                <w:u w:val="single"/>
              </w:rPr>
              <w:fldChar w:fldCharType="begin"/>
            </w:r>
            <w:r>
              <w:rPr>
                <w:rFonts w:hint="eastAsia" w:ascii="宋体" w:hAnsi="宋体"/>
                <w:kern w:val="0"/>
                <w:szCs w:val="21"/>
                <w:highlight w:val="none"/>
                <w:u w:val="single"/>
              </w:rPr>
              <w:instrText xml:space="preserve"> AUTOTEXT  input87 \* MERGEFORMAT </w:instrText>
            </w:r>
            <w:r>
              <w:rPr>
                <w:rFonts w:hint="eastAsia" w:ascii="宋体" w:hAnsi="宋体"/>
                <w:kern w:val="0"/>
                <w:szCs w:val="21"/>
                <w:highlight w:val="none"/>
                <w:u w:val="single"/>
              </w:rPr>
              <w:fldChar w:fldCharType="separate"/>
            </w:r>
            <w:r>
              <w:rPr>
                <w:rFonts w:hint="eastAsia" w:ascii="宋体" w:hAnsi="宋体"/>
                <w:color w:val="000000" w:themeColor="text1"/>
                <w:kern w:val="0"/>
                <w:szCs w:val="21"/>
                <w:highlight w:val="none"/>
                <w:u w:val="single"/>
                <w14:textFill>
                  <w14:solidFill>
                    <w14:schemeClr w14:val="tx1"/>
                  </w14:solidFill>
                </w14:textFill>
              </w:rPr>
              <w:t>15987184657</w:t>
            </w:r>
            <w:r>
              <w:rPr>
                <w:rFonts w:hint="eastAsia" w:ascii="宋体" w:hAnsi="宋体"/>
                <w:kern w:val="0"/>
                <w:szCs w:val="21"/>
                <w:highlight w:val="none"/>
                <w:u w:val="single"/>
              </w:rPr>
              <w:fldChar w:fldCharType="end"/>
            </w:r>
          </w:p>
        </w:tc>
        <w:tc>
          <w:tcPr>
            <w:tcW w:w="1722" w:type="dxa"/>
            <w:shd w:val="clear" w:color="auto" w:fill="auto"/>
            <w:vAlign w:val="center"/>
          </w:tcPr>
          <w:p>
            <w:pPr>
              <w:topLinePunct/>
              <w:adjustRightInd w:val="0"/>
              <w:snapToGrid w:val="0"/>
              <w:spacing w:line="360" w:lineRule="auto"/>
              <w:jc w:val="right"/>
              <w:rPr>
                <w:rFonts w:ascii="宋体" w:hAnsi="宋体"/>
                <w:kern w:val="0"/>
                <w:szCs w:val="21"/>
                <w:highlight w:val="none"/>
              </w:rPr>
            </w:pPr>
            <w:r>
              <w:rPr>
                <w:rFonts w:ascii="宋体" w:hAnsi="宋体"/>
                <w:kern w:val="0"/>
                <w:szCs w:val="21"/>
                <w:highlight w:val="none"/>
              </w:rPr>
              <w:t>电    话：</w:t>
            </w:r>
          </w:p>
        </w:tc>
        <w:tc>
          <w:tcPr>
            <w:tcW w:w="3893" w:type="dxa"/>
            <w:shd w:val="clear" w:color="auto" w:fill="auto"/>
            <w:vAlign w:val="center"/>
          </w:tcPr>
          <w:p>
            <w:pPr>
              <w:topLinePunct/>
              <w:adjustRightInd w:val="0"/>
              <w:snapToGrid w:val="0"/>
              <w:spacing w:line="360" w:lineRule="auto"/>
              <w:rPr>
                <w:rFonts w:ascii="宋体" w:hAnsi="宋体"/>
                <w:kern w:val="0"/>
                <w:szCs w:val="21"/>
                <w:highlight w:val="none"/>
              </w:rPr>
            </w:pPr>
            <w:r>
              <w:rPr>
                <w:rFonts w:hint="eastAsia" w:ascii="宋体" w:hAnsi="宋体"/>
                <w:kern w:val="0"/>
                <w:szCs w:val="21"/>
                <w:highlight w:val="none"/>
                <w:u w:val="single"/>
              </w:rPr>
              <w:fldChar w:fldCharType="begin"/>
            </w:r>
            <w:r>
              <w:rPr>
                <w:rFonts w:hint="eastAsia" w:ascii="宋体" w:hAnsi="宋体"/>
                <w:kern w:val="0"/>
                <w:szCs w:val="21"/>
                <w:highlight w:val="none"/>
                <w:u w:val="single"/>
              </w:rPr>
              <w:instrText xml:space="preserve"> AUTOTEXT  input88 \* MERGEFORMAT </w:instrText>
            </w:r>
            <w:r>
              <w:rPr>
                <w:rFonts w:hint="eastAsia" w:ascii="宋体" w:hAnsi="宋体"/>
                <w:kern w:val="0"/>
                <w:szCs w:val="21"/>
                <w:highlight w:val="none"/>
                <w:u w:val="single"/>
              </w:rPr>
              <w:fldChar w:fldCharType="separate"/>
            </w:r>
            <w:r>
              <w:rPr>
                <w:rFonts w:hint="eastAsia" w:ascii="宋体" w:hAnsi="宋体"/>
                <w:color w:val="000000" w:themeColor="text1"/>
                <w:kern w:val="0"/>
                <w:szCs w:val="21"/>
                <w:highlight w:val="none"/>
                <w:u w:val="single"/>
                <w14:textFill>
                  <w14:solidFill>
                    <w14:schemeClr w14:val="tx1"/>
                  </w14:solidFill>
                </w14:textFill>
              </w:rPr>
              <w:t>17308720917</w:t>
            </w:r>
            <w:r>
              <w:rPr>
                <w:rFonts w:hint="eastAsia" w:ascii="宋体" w:hAnsi="宋体"/>
                <w:kern w:val="0"/>
                <w:szCs w:val="21"/>
                <w:highlight w:val="none"/>
                <w:u w:val="single"/>
              </w:rPr>
              <w:fldChar w:fldCharType="end"/>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kern w:val="0"/>
          <w:highlight w:val="none"/>
        </w:rPr>
      </w:pPr>
      <w:bookmarkStart w:id="0" w:name="第一章_投标邀请书"/>
      <w:bookmarkEnd w:id="0"/>
      <w:r>
        <w:rPr>
          <w:rFonts w:hint="eastAsia" w:ascii="宋体" w:hAnsi="宋体" w:eastAsia="宋体"/>
          <w:kern w:val="0"/>
          <w:highlight w:val="none"/>
          <w:lang w:val="en-US" w:eastAsia="zh-CN"/>
        </w:rPr>
        <w:t>行政监督部门：鹤庆县文化和旅游局                监督电话：0872-4122659</w:t>
      </w:r>
    </w:p>
    <w:p>
      <w:pPr>
        <w:adjustRightInd w:val="0"/>
        <w:snapToGrid w:val="0"/>
        <w:spacing w:line="360" w:lineRule="auto"/>
        <w:ind w:firstLine="420" w:firstLineChars="200"/>
        <w:jc w:val="right"/>
        <w:rPr>
          <w:rFonts w:hint="eastAsia" w:ascii="宋体" w:hAnsi="宋体"/>
          <w:kern w:val="0"/>
          <w:highlight w:val="none"/>
        </w:rPr>
      </w:pPr>
      <w:r>
        <w:rPr>
          <w:rFonts w:hint="eastAsia" w:ascii="宋体" w:hAnsi="宋体"/>
          <w:kern w:val="0"/>
          <w:highlight w:val="none"/>
        </w:rPr>
        <w:t>2022年</w:t>
      </w:r>
      <w:r>
        <w:rPr>
          <w:rFonts w:hint="eastAsia" w:ascii="宋体" w:hAnsi="宋体"/>
          <w:kern w:val="0"/>
          <w:highlight w:val="none"/>
          <w:lang w:val="en-US" w:eastAsia="zh-CN"/>
        </w:rPr>
        <w:t>7</w:t>
      </w:r>
      <w:r>
        <w:rPr>
          <w:rFonts w:hint="eastAsia" w:ascii="宋体" w:hAnsi="宋体"/>
          <w:kern w:val="0"/>
          <w:highlight w:val="none"/>
        </w:rPr>
        <w:t>月</w:t>
      </w:r>
      <w:r>
        <w:rPr>
          <w:rFonts w:hint="eastAsia" w:ascii="宋体" w:hAnsi="宋体"/>
          <w:kern w:val="0"/>
          <w:highlight w:val="none"/>
          <w:lang w:val="en-US" w:eastAsia="zh-CN"/>
        </w:rPr>
        <w:t>11</w:t>
      </w:r>
      <w:r>
        <w:rPr>
          <w:rFonts w:hint="eastAsia" w:ascii="宋体" w:hAnsi="宋体"/>
          <w:kern w:val="0"/>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angSong_GB2312">
    <w:altName w:val="仿宋"/>
    <w:panose1 w:val="02010609060101010101"/>
    <w:charset w:val="86"/>
    <w:family w:val="modern"/>
    <w:pitch w:val="default"/>
    <w:sig w:usb0="00000000" w:usb1="00000000" w:usb2="0000001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5OTFlNzg4Y2ZmMWZkNzBmMzBjMzU4YTEyOWFhNTUifQ=="/>
  </w:docVars>
  <w:rsids>
    <w:rsidRoot w:val="06160B86"/>
    <w:rsid w:val="06160B86"/>
    <w:rsid w:val="06C9105D"/>
    <w:rsid w:val="07175049"/>
    <w:rsid w:val="089C0A5A"/>
    <w:rsid w:val="0B0E458D"/>
    <w:rsid w:val="0CB32F82"/>
    <w:rsid w:val="1BB35273"/>
    <w:rsid w:val="20815889"/>
    <w:rsid w:val="271929F8"/>
    <w:rsid w:val="36515422"/>
    <w:rsid w:val="398D5222"/>
    <w:rsid w:val="45164155"/>
    <w:rsid w:val="50242FEA"/>
    <w:rsid w:val="58DE7697"/>
    <w:rsid w:val="5BB36FEA"/>
    <w:rsid w:val="5CCB292E"/>
    <w:rsid w:val="5D2D04AA"/>
    <w:rsid w:val="604A199B"/>
    <w:rsid w:val="64FD4F5B"/>
    <w:rsid w:val="6B592576"/>
    <w:rsid w:val="7FE14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eastAsia="FangSong_GB2312"/>
      <w:sz w:val="30"/>
      <w:szCs w:val="24"/>
    </w:rPr>
  </w:style>
  <w:style w:type="paragraph" w:styleId="3">
    <w:name w:val="Body Text"/>
    <w:basedOn w:val="1"/>
    <w:next w:val="1"/>
    <w:qFormat/>
    <w:uiPriority w:val="0"/>
    <w:pPr>
      <w:adjustRightInd w:val="0"/>
      <w:spacing w:after="60" w:line="360" w:lineRule="atLeast"/>
      <w:ind w:left="72" w:leftChars="30" w:right="30" w:rightChars="30"/>
      <w:jc w:val="center"/>
      <w:textAlignment w:val="baseline"/>
    </w:pPr>
    <w:rPr>
      <w:rFonts w:eastAsiaTheme="minorEastAsia" w:cstheme="minorBidi"/>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2022-07-08T12:29:00Z</dcterms:created>
  <dc:creator>Administrator</dc:creator>
  <cp:lastModifiedBy>Administrator</cp:lastModifiedBy>
  <dcterms:modified xsi:type="dcterms:W3CDTF">2022-07-08T12:30:10Z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09A7437BA7C94E49A5AD994AB64C3E5C</vt:lpwstr>
  </property>
</Properties>
</file>