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鹤庆县2022年预算支出财政绩效评价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（B包）</w:t>
      </w:r>
      <w:r>
        <w:rPr>
          <w:rFonts w:hint="eastAsia" w:ascii="方正小标宋_GBK" w:hAnsi="方正小标宋_GBK" w:eastAsia="方正小标宋_GBK" w:cs="方正小标宋_GBK"/>
          <w:b w:val="0"/>
          <w:bCs w:val="0"/>
          <w:sz w:val="44"/>
          <w:szCs w:val="44"/>
          <w:lang w:eastAsia="zh-CN"/>
        </w:rPr>
        <w:t>综合报告</w:t>
      </w:r>
    </w:p>
    <w:p>
      <w:pPr>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根据《中华人民共和国预算法》《中共中央国务院关于全面实施预算绩效管理的意见》(中发〔2018〕34号)《云南省财政厅云南省委组织部云南省审计厅关于印发《云南省全面实施预算绩效管理工作推进方案》的通知》(云财办〔2019〕84号)、《中共鹤庆县委鹤庆县人民政府关于全面实施预算绩效管理的实施意见》（鹤发〔2020〕13号）、《鹤庆县财政局关于开展2022年预算支出财政绩效评价工作的通知》(鹤财绩〔2023〕3号)等文件要求，鹤庆县财政局委托众华会计师事务所(特殊普通合伙》云南分所成立绩效评价工作组，于2023年9月25日至2023年10月20日对鹤庆县2022年预算支出财政绩效评价项目（B包）实施绩效评价，现就评价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鹤庆县2022年预算支出财政绩效评价项目（B包）绩效评价共21个，为21个项目支出绩效评价，评价项目主要为鹤庆县消防救援大队2022年部门业务费及项目经费、鹤庆县社会保险中心工伤保险基金项目、鹤庆县云鹤镇人民政府2022年社会化管理中央补助资金、鹤庆县农村产业融合发展示范项目等（详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二、项目资金安排及使用情况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鹤庆县2022年预算支出财政绩效评价项目（B包）绩效评价为21个项目支出绩效评价，共涉及预算资金合计42,500.17万元，整体资金到位率为100%。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三、主要评价内容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（一）决策情况分析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1、项目立项分析。从项目立项是否符合法律法规、相关政策、发展规划以及部门职责，设立过程是否符合相关要求等方面分析评价。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2、绩效目标分析。从项目所设定的绩效目标是否依据充分，符合客观，绩效指标是否清晰、细化、可衡量等方面进行分析评价。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3、资金投入分析。从项目预算编制是否经过科学论证、有明确标准，资金额度与年度目标是否相适应，预算资金分配是否有测算依据，与补助单位或地方实际是否相适应，实际到位资金与计划到位资金的比率等方面进行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（二）过程情况分析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1、财务管理分析。从项目资金是否按照计划执行，资金使用是否符合相关的财务管理制度规定，项目资金会计核算是否符合《</w:t>
      </w:r>
      <w:r>
        <w:rPr>
          <w:rFonts w:hint="eastAsia" w:ascii="宋体" w:hAnsi="宋体" w:eastAsia="方正仿宋_GBK" w:cs="方正仿宋_GBK"/>
          <w:color w:val="333333"/>
          <w:sz w:val="32"/>
          <w:szCs w:val="32"/>
          <w:shd w:val="clear" w:color="auto" w:fill="FFFFFF"/>
          <w:lang w:eastAsia="zh-CN"/>
        </w:rPr>
        <w:t>中华人民共和国</w:t>
      </w:r>
      <w:bookmarkStart w:id="0" w:name="_GoBack"/>
      <w:bookmarkEnd w:id="0"/>
      <w:r>
        <w:rPr>
          <w:rFonts w:hint="eastAsia" w:ascii="宋体" w:hAnsi="宋体" w:eastAsia="方正仿宋_GBK" w:cs="方正仿宋_GBK"/>
          <w:color w:val="333333"/>
          <w:sz w:val="32"/>
          <w:szCs w:val="32"/>
          <w:shd w:val="clear" w:color="auto" w:fill="FFFFFF"/>
        </w:rPr>
        <w:t>会计法》和相关会计准则、会计制度等方面进行分析评价。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2.项目管理分析。从项目实施单位的财务和业务管理制度是否健全，制度执行有效性，招投标程序合规性，项目质量可控性，绩效自评规范性等方面分析评价。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（三）产出情况分析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产生情况分析结合各个项目的实际情况，根据经批准的实施方案进行考核及项目预算，主要从产出数量、产出时效、产出质量、成本控制四个方面进行评价分析评价。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（四）效益情况分析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效益分析主要从经济效益、社会效益、可持续影响、群众满意度等几个方面进行考核，结合各个项目的特点、受益群体逐一编制调查问卷，通过问卷结果反映各个项目的效益情况分析评价。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四、综合评价结果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本次被评价单位在项目决策、项目过程管理、产出情况、效益情况等各个方面完成度较好，评优率为85.71%，无评价等级为中、差。综合平均得分为90.56分，整体评价结果较好。其中被评价的21个项目共涉及的单位有15个，在项目立项依据充分性、项目绩效目标制定的合理性、明确性、资金预算编制科学性、资金分配合理性、资金管理及安排使用、项目组织实施、项目绩效目标完成及效益等方面完整情况整体较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五、主要经验及做法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333333"/>
          <w:sz w:val="32"/>
          <w:szCs w:val="32"/>
          <w:shd w:val="clear" w:color="auto" w:fill="FFFFFF"/>
        </w:rPr>
      </w:pPr>
      <w:r>
        <w:rPr>
          <w:rFonts w:hint="eastAsia" w:ascii="宋体" w:hAnsi="宋体" w:eastAsia="方正仿宋_GBK" w:cs="方正仿宋_GBK"/>
          <w:color w:val="333333"/>
          <w:sz w:val="32"/>
          <w:szCs w:val="32"/>
          <w:shd w:val="clear" w:color="auto" w:fill="FFFFFF"/>
        </w:rPr>
        <w:t>本次评价坚持以结果为导向，强调成本效益，强化预算绩效评价结果的运用，避免财政资源配置和使用中的低效无效问题，从而提高公共服务质量和水平。本次评价从项目的决策投入、过程管理、产出情况、效益情况四个方面重点展开，了解预算资金是否达到了预期目标，分析存在的问题及原因，针对问题给出建议。根据评价结果，及时调整和优化部门以后年度预算支出的方向，优化财政支出结构，促进财政资源配置最优和产出效果最大化。</w:t>
      </w:r>
    </w:p>
    <w:p>
      <w:pPr>
        <w:spacing w:line="360" w:lineRule="auto"/>
        <w:ind w:firstLine="480" w:firstLineChars="200"/>
        <w:jc w:val="left"/>
        <w:rPr>
          <w:rFonts w:ascii="宋体" w:hAnsi="宋体" w:eastAsia="方正仿宋_GBK"/>
          <w:color w:val="333333"/>
          <w:sz w:val="24"/>
          <w:szCs w:val="24"/>
          <w:shd w:val="clear" w:color="auto" w:fill="FFFFFF"/>
        </w:rPr>
      </w:pPr>
    </w:p>
    <w:p>
      <w:pPr>
        <w:spacing w:line="360" w:lineRule="auto"/>
        <w:ind w:firstLine="640" w:firstLineChars="200"/>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kern w:val="0"/>
          <w:sz w:val="32"/>
          <w:szCs w:val="32"/>
        </w:rPr>
        <w:t>鹤庆县2022年预算支出财政绩效评价项目（B包）评价结果汇总表</w:t>
      </w:r>
    </w:p>
    <w:tbl>
      <w:tblPr>
        <w:tblStyle w:val="4"/>
        <w:tblW w:w="5000" w:type="pct"/>
        <w:tblInd w:w="0" w:type="dxa"/>
        <w:tblLayout w:type="fixed"/>
        <w:tblCellMar>
          <w:top w:w="0" w:type="dxa"/>
          <w:left w:w="108" w:type="dxa"/>
          <w:bottom w:w="0" w:type="dxa"/>
          <w:right w:w="108" w:type="dxa"/>
        </w:tblCellMar>
      </w:tblPr>
      <w:tblGrid>
        <w:gridCol w:w="613"/>
        <w:gridCol w:w="2730"/>
        <w:gridCol w:w="3058"/>
        <w:gridCol w:w="1021"/>
        <w:gridCol w:w="1099"/>
      </w:tblGrid>
      <w:tr>
        <w:tblPrEx>
          <w:tblCellMar>
            <w:top w:w="0" w:type="dxa"/>
            <w:left w:w="108" w:type="dxa"/>
            <w:bottom w:w="0" w:type="dxa"/>
            <w:right w:w="108" w:type="dxa"/>
          </w:tblCellMar>
        </w:tblPrEx>
        <w:trPr>
          <w:trHeight w:val="369" w:hRule="atLeast"/>
          <w:tblHeader/>
        </w:trPr>
        <w:tc>
          <w:tcPr>
            <w:tcW w:w="3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bCs/>
                <w:color w:val="000000"/>
                <w:kern w:val="0"/>
                <w:sz w:val="22"/>
                <w:szCs w:val="22"/>
              </w:rPr>
            </w:pPr>
            <w:r>
              <w:rPr>
                <w:rFonts w:hint="eastAsia" w:ascii="方正仿宋_GBK" w:hAnsi="方正仿宋_GBK" w:eastAsia="方正仿宋_GBK" w:cs="方正仿宋_GBK"/>
                <w:b/>
                <w:bCs/>
                <w:color w:val="000000"/>
                <w:kern w:val="0"/>
                <w:sz w:val="22"/>
                <w:szCs w:val="22"/>
              </w:rPr>
              <w:t>序号</w:t>
            </w:r>
          </w:p>
        </w:tc>
        <w:tc>
          <w:tcPr>
            <w:tcW w:w="16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2"/>
                <w:szCs w:val="22"/>
              </w:rPr>
            </w:pPr>
            <w:r>
              <w:rPr>
                <w:rFonts w:hint="eastAsia" w:ascii="方正仿宋_GBK" w:hAnsi="方正仿宋_GBK" w:eastAsia="方正仿宋_GBK" w:cs="方正仿宋_GBK"/>
                <w:b/>
                <w:bCs/>
                <w:color w:val="000000"/>
                <w:kern w:val="0"/>
                <w:sz w:val="22"/>
                <w:szCs w:val="22"/>
              </w:rPr>
              <w:t>项目负责部门</w:t>
            </w:r>
          </w:p>
        </w:tc>
        <w:tc>
          <w:tcPr>
            <w:tcW w:w="17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2"/>
                <w:szCs w:val="22"/>
              </w:rPr>
            </w:pPr>
            <w:r>
              <w:rPr>
                <w:rFonts w:hint="eastAsia" w:ascii="方正仿宋_GBK" w:hAnsi="方正仿宋_GBK" w:eastAsia="方正仿宋_GBK" w:cs="方正仿宋_GBK"/>
                <w:b/>
                <w:bCs/>
                <w:color w:val="000000"/>
                <w:kern w:val="0"/>
                <w:sz w:val="22"/>
                <w:szCs w:val="22"/>
              </w:rPr>
              <w:t>项目名称</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bCs/>
                <w:color w:val="000000"/>
                <w:kern w:val="0"/>
                <w:sz w:val="22"/>
                <w:szCs w:val="22"/>
              </w:rPr>
            </w:pPr>
            <w:r>
              <w:rPr>
                <w:rFonts w:hint="eastAsia" w:ascii="方正仿宋_GBK" w:hAnsi="方正仿宋_GBK" w:eastAsia="方正仿宋_GBK" w:cs="方正仿宋_GBK"/>
                <w:b/>
                <w:bCs/>
                <w:color w:val="000000"/>
                <w:kern w:val="0"/>
                <w:sz w:val="22"/>
                <w:szCs w:val="22"/>
              </w:rPr>
              <w:t>评价得分</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bCs/>
                <w:color w:val="000000"/>
                <w:kern w:val="0"/>
                <w:sz w:val="22"/>
                <w:szCs w:val="22"/>
              </w:rPr>
            </w:pPr>
            <w:r>
              <w:rPr>
                <w:rFonts w:hint="eastAsia" w:ascii="方正仿宋_GBK" w:hAnsi="方正仿宋_GBK" w:eastAsia="方正仿宋_GBK" w:cs="方正仿宋_GBK"/>
                <w:b/>
                <w:bCs/>
                <w:color w:val="000000"/>
                <w:kern w:val="0"/>
                <w:sz w:val="22"/>
                <w:szCs w:val="22"/>
              </w:rPr>
              <w:t>评价等级</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w:t>
            </w:r>
          </w:p>
        </w:tc>
        <w:tc>
          <w:tcPr>
            <w:tcW w:w="1602"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鹤庆县兴鹤城市建设投资开发有限责任公司</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鹤庆县特色花卉产业园基础设施建设项目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81.00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良</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w:t>
            </w:r>
          </w:p>
        </w:tc>
        <w:tc>
          <w:tcPr>
            <w:tcW w:w="1602"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鹤庆县兴鹤城市建设投资开发有限责任公司</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鹤庆县银铜加工产业园（一期）</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81.24</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良</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3</w:t>
            </w:r>
          </w:p>
        </w:tc>
        <w:tc>
          <w:tcPr>
            <w:tcW w:w="1602"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鹤庆县文化和旅游局</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云鹤镇历史文化街区环境整治提升项目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94.09</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4</w:t>
            </w:r>
          </w:p>
        </w:tc>
        <w:tc>
          <w:tcPr>
            <w:tcW w:w="1602" w:type="pct"/>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鹤庆县住房和城乡建设局</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云鹤镇区域五线入地项目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93.28</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5</w:t>
            </w:r>
          </w:p>
        </w:tc>
        <w:tc>
          <w:tcPr>
            <w:tcW w:w="1602"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鹤庆县兴鹤工业园区开发有限公司</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鹤庆县农村产业加工综合整治项目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90.41</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6</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2022年国有企业退休人员社会化管理项目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84.00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良</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7</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鹤庆县新屯镇人民政府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鹤庆县农村产业融合发展项目辛屯镇乡村振兴建设项目-精品示范村创建（南河村）</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8</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鹤庆县国有资产经营管理有限责任公司</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鹤庆县坝区畜禽粪污收集处理中心项目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w:t>
            </w:r>
          </w:p>
        </w:tc>
        <w:tc>
          <w:tcPr>
            <w:tcW w:w="1602"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鹤庆县鑫发土地投资开发有限公司</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绿色有机水稻种植示范园项目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91.00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10</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鹤庆县消防救援大队</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鹤庆县消费大队2022年部门业务费及项目经费</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96.00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11</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鹤庆县人力资源</w:t>
            </w:r>
            <w:r>
              <w:rPr>
                <w:rFonts w:hint="eastAsia" w:ascii="方正仿宋_GBK" w:hAnsi="方正仿宋_GBK" w:eastAsia="方正仿宋_GBK" w:cs="方正仿宋_GBK"/>
                <w:color w:val="000000"/>
                <w:kern w:val="0"/>
                <w:sz w:val="22"/>
                <w:szCs w:val="22"/>
                <w:lang w:val="en-US" w:eastAsia="zh-CN"/>
              </w:rPr>
              <w:t>和</w:t>
            </w:r>
            <w:r>
              <w:rPr>
                <w:rFonts w:hint="eastAsia" w:ascii="方正仿宋_GBK" w:hAnsi="方正仿宋_GBK" w:eastAsia="方正仿宋_GBK" w:cs="方正仿宋_GBK"/>
                <w:color w:val="000000"/>
                <w:kern w:val="0"/>
                <w:sz w:val="22"/>
                <w:szCs w:val="22"/>
              </w:rPr>
              <w:t>社会保障局</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2022年度工伤保险基金项目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96.00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12</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草海镇政府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草海镇基础设施建设项目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92.00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13</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云鹤镇乡村振兴基础设施提升项目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94.63</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14</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云鹤镇乡村振兴示范创建项目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90.19</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15</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辛屯镇人民政府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辛屯镇农副产品交易集散市场建设项目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90.47</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16</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辛屯镇人民政府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鹤庆县辛屯镇绿色有机蔬菜冷链加工冷库建设项目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92.27</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17</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辛屯镇人民政府</w:t>
            </w:r>
          </w:p>
        </w:tc>
        <w:tc>
          <w:tcPr>
            <w:tcW w:w="1794" w:type="pct"/>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鹤庆县辛屯镇乡村振兴项目—美丽乡村建设项目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18</w:t>
            </w:r>
          </w:p>
        </w:tc>
        <w:tc>
          <w:tcPr>
            <w:tcW w:w="160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鹤庆县风景园林管理局</w:t>
            </w:r>
          </w:p>
        </w:tc>
        <w:tc>
          <w:tcPr>
            <w:tcW w:w="1794" w:type="pct"/>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黄龙河生态治理建设项目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90.5</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19</w:t>
            </w:r>
          </w:p>
        </w:tc>
        <w:tc>
          <w:tcPr>
            <w:tcW w:w="160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草海镇人民政府</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草海广场文化景观提升改造、三义南巷道风貌整治景观提升工程项目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90.00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20</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鹤庆县供销合作社联合社</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电子商务及仓储冷链物流中心项目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91.5</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r>
        <w:tblPrEx>
          <w:tblCellMar>
            <w:top w:w="0" w:type="dxa"/>
            <w:left w:w="108" w:type="dxa"/>
            <w:bottom w:w="0" w:type="dxa"/>
            <w:right w:w="108" w:type="dxa"/>
          </w:tblCellMar>
        </w:tblPrEx>
        <w:trPr>
          <w:trHeight w:val="369" w:hRule="atLeast"/>
        </w:trPr>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21</w:t>
            </w:r>
          </w:p>
        </w:tc>
        <w:tc>
          <w:tcPr>
            <w:tcW w:w="1602" w:type="pct"/>
            <w:tcBorders>
              <w:top w:val="nil"/>
              <w:left w:val="nil"/>
              <w:bottom w:val="single" w:color="auto" w:sz="4" w:space="0"/>
              <w:right w:val="single" w:color="auto" w:sz="4" w:space="0"/>
            </w:tcBorders>
            <w:shd w:val="clear" w:color="auto" w:fill="auto"/>
            <w:noWrap/>
            <w:vAlign w:val="center"/>
          </w:tcPr>
          <w:p>
            <w:pPr>
              <w:widowControl/>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鹤庆县农业农村局</w:t>
            </w:r>
          </w:p>
        </w:tc>
        <w:tc>
          <w:tcPr>
            <w:tcW w:w="1794" w:type="pct"/>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西草海湿地生态农业观光园项目</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93.25</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优</w:t>
            </w:r>
          </w:p>
        </w:tc>
      </w:tr>
    </w:tbl>
    <w:p>
      <w:pPr>
        <w:spacing w:line="360" w:lineRule="auto"/>
        <w:ind w:firstLine="440" w:firstLineChars="200"/>
        <w:jc w:val="center"/>
        <w:rPr>
          <w:rFonts w:hint="eastAsia" w:ascii="方正仿宋_GBK" w:hAnsi="方正仿宋_GBK" w:eastAsia="方正仿宋_GBK" w:cs="方正仿宋_GBK"/>
          <w:color w:val="333333"/>
          <w:sz w:val="22"/>
          <w:szCs w:val="2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C8"/>
    <w:rsid w:val="0006059D"/>
    <w:rsid w:val="00232F85"/>
    <w:rsid w:val="00256AC6"/>
    <w:rsid w:val="002F5F28"/>
    <w:rsid w:val="003C7C59"/>
    <w:rsid w:val="003D5068"/>
    <w:rsid w:val="0044065D"/>
    <w:rsid w:val="0049567C"/>
    <w:rsid w:val="004D229F"/>
    <w:rsid w:val="0060309A"/>
    <w:rsid w:val="00620E20"/>
    <w:rsid w:val="00732FBC"/>
    <w:rsid w:val="00772A5F"/>
    <w:rsid w:val="007C2D27"/>
    <w:rsid w:val="00A44939"/>
    <w:rsid w:val="00A85932"/>
    <w:rsid w:val="00A869E7"/>
    <w:rsid w:val="00AE552B"/>
    <w:rsid w:val="00C77796"/>
    <w:rsid w:val="00E86F62"/>
    <w:rsid w:val="00E964C8"/>
    <w:rsid w:val="00EE1621"/>
    <w:rsid w:val="00F4360C"/>
    <w:rsid w:val="00FB081A"/>
    <w:rsid w:val="00FE2757"/>
    <w:rsid w:val="02C8731B"/>
    <w:rsid w:val="1D3744D3"/>
    <w:rsid w:val="34AE4FB1"/>
    <w:rsid w:val="350935C5"/>
    <w:rsid w:val="3D1B53CD"/>
    <w:rsid w:val="5EBA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375</Words>
  <Characters>2144</Characters>
  <Lines>17</Lines>
  <Paragraphs>5</Paragraphs>
  <TotalTime>16</TotalTime>
  <ScaleCrop>false</ScaleCrop>
  <LinksUpToDate>false</LinksUpToDate>
  <CharactersWithSpaces>2514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2023-12-17T10:38:00Z</dcterms:created>
  <dc:creator>Administrator</dc:creator>
  <cp:lastModifiedBy>Administrator</cp:lastModifiedBy>
  <dcterms:modified xsi:type="dcterms:W3CDTF">2024-04-03T01:57:56Z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92770258A2D24A2CBDC5B1663B05C134</vt:lpwstr>
  </property>
</Properties>
</file>