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仿宋_GB2312" w:hAnsi="黑体" w:eastAsia="仿宋_GB2312"/>
          <w:sz w:val="32"/>
          <w:szCs w:val="32"/>
        </w:rPr>
        <w:t>附件1</w:t>
      </w:r>
    </w:p>
    <w:p>
      <w:pPr>
        <w:ind w:right="-334" w:rightChars="-159"/>
        <w:rPr>
          <w:rFonts w:ascii="方正小标宋简体" w:eastAsia="方正小标宋简体"/>
          <w:sz w:val="36"/>
          <w:szCs w:val="36"/>
        </w:rPr>
      </w:pPr>
    </w:p>
    <w:p>
      <w:pPr>
        <w:ind w:right="-334" w:rightChars="-159"/>
        <w:jc w:val="center"/>
        <w:rPr>
          <w:rFonts w:ascii="仿宋_GB2312" w:eastAsia="仿宋_GB2312"/>
          <w:sz w:val="32"/>
          <w:szCs w:val="32"/>
        </w:rPr>
      </w:pPr>
      <w:r>
        <w:rPr>
          <w:rFonts w:hint="eastAsia" w:ascii="方正小标宋简体" w:eastAsia="方正小标宋简体"/>
          <w:sz w:val="36"/>
          <w:szCs w:val="36"/>
        </w:rPr>
        <w:t>鹤庆县林业和草原局2020年度行政执法情况汇总表</w:t>
      </w:r>
      <w:r>
        <w:rPr>
          <w:rFonts w:hint="eastAsia" w:ascii="仿宋_GB2312" w:eastAsia="仿宋_GB2312"/>
          <w:sz w:val="32"/>
          <w:szCs w:val="32"/>
        </w:rPr>
        <w:t>2020年12月</w:t>
      </w:r>
      <w:r>
        <w:rPr>
          <w:rFonts w:hint="eastAsia" w:ascii="仿宋_GB2312" w:eastAsia="仿宋_GB2312"/>
          <w:sz w:val="32"/>
          <w:szCs w:val="32"/>
          <w:lang w:val="en-US" w:eastAsia="zh-CN"/>
        </w:rPr>
        <w:t>30</w:t>
      </w:r>
      <w:r>
        <w:rPr>
          <w:rFonts w:hint="eastAsia" w:ascii="仿宋_GB2312" w:eastAsia="仿宋_GB2312"/>
          <w:sz w:val="32"/>
          <w:szCs w:val="32"/>
        </w:rPr>
        <w:t>日</w:t>
      </w:r>
    </w:p>
    <w:tbl>
      <w:tblPr>
        <w:tblStyle w:val="5"/>
        <w:tblW w:w="8820" w:type="dxa"/>
        <w:tblInd w:w="-72" w:type="dxa"/>
        <w:tblLayout w:type="fixed"/>
        <w:tblCellMar>
          <w:top w:w="0" w:type="dxa"/>
          <w:left w:w="108" w:type="dxa"/>
          <w:bottom w:w="0" w:type="dxa"/>
          <w:right w:w="108" w:type="dxa"/>
        </w:tblCellMar>
      </w:tblPr>
      <w:tblGrid>
        <w:gridCol w:w="126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608"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执法类别</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行政许可</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行政处罚</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行政强制</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行政检查</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行政征收</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行政征用</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
                <w:bCs/>
                <w:spacing w:val="-16"/>
                <w:sz w:val="24"/>
                <w:szCs w:val="24"/>
              </w:rPr>
            </w:pPr>
            <w:r>
              <w:rPr>
                <w:rFonts w:hint="eastAsia" w:ascii="宋体" w:hAnsi="宋体"/>
                <w:b/>
                <w:bCs/>
                <w:spacing w:val="-16"/>
                <w:sz w:val="24"/>
                <w:szCs w:val="24"/>
              </w:rPr>
              <w:t>行政裁决</w:t>
            </w:r>
          </w:p>
        </w:tc>
      </w:tr>
      <w:tr>
        <w:tblPrEx>
          <w:tblLayout w:type="fixed"/>
          <w:tblCellMar>
            <w:top w:w="0" w:type="dxa"/>
            <w:left w:w="108" w:type="dxa"/>
            <w:bottom w:w="0" w:type="dxa"/>
            <w:right w:w="108" w:type="dxa"/>
          </w:tblCellMar>
        </w:tblPrEx>
        <w:trPr>
          <w:trHeight w:val="619"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4"/>
                <w:szCs w:val="24"/>
              </w:rPr>
            </w:pPr>
            <w:r>
              <w:rPr>
                <w:rFonts w:hint="eastAsia" w:ascii="宋体" w:hAnsi="宋体"/>
                <w:b/>
                <w:bCs/>
                <w:color w:val="000000"/>
                <w:sz w:val="24"/>
                <w:szCs w:val="24"/>
              </w:rPr>
              <w:t>数  量</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70</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257</w:t>
            </w: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0</w:t>
            </w:r>
          </w:p>
        </w:tc>
        <w:tc>
          <w:tcPr>
            <w:tcW w:w="1080"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10</w:t>
            </w: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0</w:t>
            </w: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0</w:t>
            </w:r>
          </w:p>
        </w:tc>
        <w:tc>
          <w:tcPr>
            <w:tcW w:w="108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0</w:t>
            </w:r>
          </w:p>
        </w:tc>
      </w:tr>
      <w:tr>
        <w:tblPrEx>
          <w:tblLayout w:type="fixed"/>
          <w:tblCellMar>
            <w:top w:w="0" w:type="dxa"/>
            <w:left w:w="108" w:type="dxa"/>
            <w:bottom w:w="0" w:type="dxa"/>
            <w:right w:w="108" w:type="dxa"/>
          </w:tblCellMar>
        </w:tblPrEx>
        <w:trPr>
          <w:trHeight w:val="1228"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4"/>
                <w:szCs w:val="24"/>
              </w:rPr>
            </w:pPr>
            <w:r>
              <w:rPr>
                <w:rFonts w:hint="eastAsia" w:ascii="宋体" w:hAnsi="宋体"/>
                <w:b/>
                <w:bCs/>
                <w:color w:val="000000"/>
                <w:sz w:val="24"/>
                <w:szCs w:val="24"/>
              </w:rPr>
              <w:t>备  注</w:t>
            </w:r>
          </w:p>
        </w:tc>
        <w:tc>
          <w:tcPr>
            <w:tcW w:w="7560" w:type="dxa"/>
            <w:gridSpan w:val="7"/>
            <w:tcBorders>
              <w:top w:val="single" w:color="auto" w:sz="4" w:space="0"/>
              <w:left w:val="nil"/>
              <w:bottom w:val="single" w:color="auto" w:sz="4" w:space="0"/>
              <w:right w:val="single" w:color="auto" w:sz="4" w:space="0"/>
            </w:tcBorders>
          </w:tcPr>
          <w:p>
            <w:pPr>
              <w:spacing w:line="360" w:lineRule="exact"/>
              <w:ind w:firstLine="560" w:firstLineChars="200"/>
              <w:rPr>
                <w:rFonts w:ascii="仿宋_GB2312" w:eastAsia="仿宋_GB2312"/>
                <w:sz w:val="28"/>
                <w:szCs w:val="28"/>
              </w:rPr>
            </w:pPr>
            <w:r>
              <w:rPr>
                <w:rFonts w:hint="eastAsia" w:ascii="仿宋_GB2312" w:eastAsia="仿宋_GB2312"/>
                <w:sz w:val="28"/>
                <w:szCs w:val="28"/>
              </w:rPr>
              <w:t>我局的行政执法工作在县委、县政府的正确领导下，在州林业和草原局的支持帮助下，在县司法局的具体指寻下，严格按照《中华人民共和国森林法》、《种子法》、《中华人民共和国森林法实施条例》、《云南省森林条例》、《云南省林地管理条例》、《云南省林木种子条例》、《植物检疫条例》、《植物检疫条例实施细则》等相关条例开展行政许可、行政处罚、行政强制、行政检查等行政执法活动。</w:t>
            </w:r>
          </w:p>
          <w:p>
            <w:pPr>
              <w:spacing w:line="36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一、行政执法主体</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我局现共有林业行政执法人员3</w:t>
            </w:r>
            <w:r>
              <w:rPr>
                <w:rFonts w:hint="eastAsia" w:ascii="仿宋_GB2312" w:eastAsia="仿宋_GB2312"/>
                <w:sz w:val="28"/>
                <w:szCs w:val="28"/>
                <w:lang w:val="en-US" w:eastAsia="zh-CN"/>
              </w:rPr>
              <w:t>5</w:t>
            </w:r>
            <w:r>
              <w:rPr>
                <w:rFonts w:hint="eastAsia" w:ascii="仿宋_GB2312" w:eastAsia="仿宋_GB2312"/>
                <w:sz w:val="28"/>
                <w:szCs w:val="28"/>
              </w:rPr>
              <w:t>人，全体执法人员考核通过后取得了由云南省人民政府法制办公室颁发的《云南省行政执法证》。该证有效期限为2017年12月至2021年12月。</w:t>
            </w:r>
          </w:p>
          <w:p>
            <w:pPr>
              <w:spacing w:line="36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二、具体行政执法事项</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（一）行政许可</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变更《林木种子生产经营许可证》2份</w:t>
            </w:r>
            <w:r>
              <w:rPr>
                <w:rFonts w:hint="eastAsia" w:ascii="仿宋_GB2312" w:eastAsia="仿宋_GB2312"/>
                <w:sz w:val="28"/>
                <w:szCs w:val="28"/>
                <w:lang w:eastAsia="zh-CN"/>
              </w:rPr>
              <w:t>、签发植物检疫证书</w:t>
            </w:r>
            <w:r>
              <w:rPr>
                <w:rFonts w:hint="eastAsia" w:ascii="仿宋_GB2312" w:eastAsia="仿宋_GB2312"/>
                <w:sz w:val="28"/>
                <w:szCs w:val="28"/>
                <w:lang w:val="en-US" w:eastAsia="zh-CN"/>
              </w:rPr>
              <w:t>33份、征占用林地审核审批35件。</w:t>
            </w:r>
          </w:p>
          <w:p>
            <w:pPr>
              <w:spacing w:line="360" w:lineRule="exact"/>
              <w:ind w:firstLine="560" w:firstLineChars="200"/>
              <w:rPr>
                <w:rFonts w:ascii="仿宋_GB2312" w:eastAsia="仿宋_GB2312"/>
                <w:sz w:val="28"/>
                <w:szCs w:val="28"/>
              </w:rPr>
            </w:pPr>
            <w:r>
              <w:rPr>
                <w:rFonts w:hint="eastAsia" w:ascii="仿宋_GB2312" w:eastAsia="仿宋_GB2312"/>
                <w:sz w:val="28"/>
                <w:szCs w:val="28"/>
              </w:rPr>
              <w:t>（二）行政处罚</w:t>
            </w:r>
          </w:p>
          <w:p>
            <w:pPr>
              <w:spacing w:line="360" w:lineRule="exact"/>
              <w:ind w:firstLine="560" w:firstLineChars="200"/>
              <w:rPr>
                <w:rFonts w:ascii="仿宋_GB2312" w:eastAsia="仿宋_GB2312"/>
                <w:sz w:val="28"/>
                <w:szCs w:val="28"/>
              </w:rPr>
            </w:pPr>
            <w:r>
              <w:rPr>
                <w:rFonts w:hint="eastAsia" w:ascii="仿宋_GB2312" w:eastAsia="仿宋_GB2312"/>
                <w:sz w:val="28"/>
                <w:szCs w:val="28"/>
                <w:lang w:eastAsia="zh-CN"/>
              </w:rPr>
              <w:t>林业行政案件</w:t>
            </w:r>
            <w:r>
              <w:rPr>
                <w:rFonts w:hint="eastAsia" w:ascii="仿宋_GB2312" w:eastAsia="仿宋_GB2312"/>
                <w:sz w:val="28"/>
                <w:szCs w:val="28"/>
                <w:lang w:val="en-US" w:eastAsia="zh-CN"/>
              </w:rPr>
              <w:t>257起</w:t>
            </w:r>
            <w:r>
              <w:rPr>
                <w:rFonts w:hint="eastAsia" w:ascii="仿宋_GB2312" w:eastAsia="仿宋_GB2312"/>
                <w:sz w:val="28"/>
                <w:szCs w:val="28"/>
              </w:rPr>
              <w:t>。</w:t>
            </w:r>
          </w:p>
          <w:p>
            <w:pPr>
              <w:numPr>
                <w:ilvl w:val="0"/>
                <w:numId w:val="1"/>
              </w:numPr>
              <w:spacing w:line="360" w:lineRule="exact"/>
              <w:ind w:firstLine="560" w:firstLineChars="200"/>
              <w:rPr>
                <w:rFonts w:ascii="仿宋_GB2312" w:eastAsia="仿宋_GB2312"/>
                <w:sz w:val="28"/>
                <w:szCs w:val="28"/>
              </w:rPr>
            </w:pPr>
            <w:r>
              <w:rPr>
                <w:rFonts w:hint="eastAsia" w:ascii="仿宋_GB2312" w:eastAsia="仿宋_GB2312"/>
                <w:sz w:val="28"/>
                <w:szCs w:val="28"/>
              </w:rPr>
              <w:t>行政检查</w:t>
            </w:r>
          </w:p>
          <w:p>
            <w:pPr>
              <w:spacing w:line="360" w:lineRule="exact"/>
              <w:rPr>
                <w:rFonts w:ascii="仿宋_GB2312" w:eastAsia="仿宋_GB2312"/>
                <w:sz w:val="28"/>
                <w:szCs w:val="28"/>
              </w:rPr>
            </w:pPr>
            <w:r>
              <w:rPr>
                <w:rFonts w:hint="eastAsia" w:ascii="仿宋_GB2312" w:eastAsia="仿宋_GB2312"/>
                <w:sz w:val="28"/>
                <w:szCs w:val="28"/>
              </w:rPr>
              <w:t xml:space="preserve">    2020年组织开展种苗专项执法检查1次, 双随机检查1次</w:t>
            </w:r>
            <w:r>
              <w:rPr>
                <w:rFonts w:hint="eastAsia" w:ascii="仿宋_GB2312" w:eastAsia="仿宋_GB2312"/>
                <w:sz w:val="28"/>
                <w:szCs w:val="28"/>
                <w:lang w:eastAsia="zh-CN"/>
              </w:rPr>
              <w:t>；植物检疫</w:t>
            </w:r>
            <w:r>
              <w:rPr>
                <w:rFonts w:hint="eastAsia" w:ascii="仿宋_GB2312" w:eastAsia="仿宋_GB2312"/>
                <w:sz w:val="28"/>
                <w:szCs w:val="28"/>
                <w:lang w:val="en-US" w:eastAsia="zh-CN"/>
              </w:rPr>
              <w:t>8次。</w:t>
            </w:r>
          </w:p>
        </w:tc>
      </w:tr>
    </w:tbl>
    <w:p>
      <w:pPr>
        <w:ind w:left="-178" w:leftChars="-85"/>
        <w:rPr>
          <w:rFonts w:ascii="仿宋_GB2312" w:eastAsia="仿宋_GB2312"/>
          <w:sz w:val="24"/>
          <w:szCs w:val="24"/>
        </w:rPr>
      </w:pPr>
      <w:r>
        <w:rPr>
          <w:rFonts w:hint="eastAsia" w:ascii="仿宋_GB2312" w:eastAsia="仿宋_GB2312"/>
          <w:sz w:val="24"/>
          <w:szCs w:val="24"/>
        </w:rPr>
        <w:t>填表说明：</w:t>
      </w:r>
    </w:p>
    <w:p>
      <w:pPr>
        <w:spacing w:line="440" w:lineRule="exact"/>
        <w:ind w:left="-178" w:leftChars="-85"/>
        <w:rPr>
          <w:rFonts w:ascii="仿宋_GB2312" w:eastAsia="仿宋_GB2312"/>
          <w:sz w:val="24"/>
          <w:szCs w:val="24"/>
        </w:rPr>
      </w:pPr>
      <w:r>
        <w:rPr>
          <w:rFonts w:hint="eastAsia" w:ascii="仿宋_GB2312" w:eastAsia="仿宋_GB2312"/>
          <w:sz w:val="24"/>
          <w:szCs w:val="24"/>
        </w:rPr>
        <w:t>1.各单位汇总的执法案件数据必须是当年已经办结的案件数据。</w:t>
      </w:r>
    </w:p>
    <w:p>
      <w:pPr>
        <w:spacing w:line="440" w:lineRule="exact"/>
        <w:ind w:left="-178" w:leftChars="-85"/>
        <w:rPr>
          <w:rFonts w:ascii="仿宋_GB2312" w:eastAsia="仿宋_GB2312"/>
          <w:sz w:val="24"/>
          <w:szCs w:val="24"/>
        </w:rPr>
      </w:pPr>
      <w:r>
        <w:rPr>
          <w:rFonts w:hint="eastAsia" w:ascii="仿宋_GB2312" w:eastAsia="仿宋_GB2312"/>
          <w:sz w:val="24"/>
          <w:szCs w:val="24"/>
        </w:rPr>
        <w:t>2.委托执法的有关数据由委托机关汇总公开。</w:t>
      </w:r>
    </w:p>
    <w:p>
      <w:pPr>
        <w:spacing w:line="440" w:lineRule="exact"/>
        <w:ind w:left="-178" w:leftChars="-85"/>
        <w:rPr>
          <w:rFonts w:ascii="仿宋_GB2312" w:eastAsia="仿宋_GB2312"/>
          <w:sz w:val="24"/>
          <w:szCs w:val="24"/>
        </w:rPr>
      </w:pPr>
      <w:r>
        <w:rPr>
          <w:rFonts w:hint="eastAsia" w:ascii="仿宋_GB2312" w:eastAsia="仿宋_GB2312"/>
          <w:sz w:val="24"/>
          <w:szCs w:val="24"/>
        </w:rPr>
        <w:t>3.本表汇总数据为2020年1月1日至12月</w:t>
      </w:r>
      <w:r>
        <w:rPr>
          <w:rFonts w:hint="eastAsia" w:ascii="仿宋_GB2312" w:eastAsia="仿宋_GB2312"/>
          <w:sz w:val="24"/>
          <w:szCs w:val="24"/>
          <w:lang w:val="en-US" w:eastAsia="zh-CN"/>
        </w:rPr>
        <w:t>30</w:t>
      </w:r>
      <w:r>
        <w:rPr>
          <w:rFonts w:hint="eastAsia" w:ascii="仿宋_GB2312" w:eastAsia="仿宋_GB2312"/>
          <w:sz w:val="24"/>
          <w:szCs w:val="24"/>
        </w:rPr>
        <w:t>日止。</w:t>
      </w:r>
    </w:p>
    <w:p>
      <w:pPr>
        <w:spacing w:line="440" w:lineRule="exact"/>
        <w:ind w:left="-178" w:leftChars="-85"/>
        <w:rPr>
          <w:rFonts w:ascii="仿宋_GB2312" w:eastAsia="仿宋_GB2312"/>
          <w:sz w:val="28"/>
          <w:szCs w:val="28"/>
        </w:rPr>
      </w:pPr>
      <w:r>
        <w:rPr>
          <w:rFonts w:hint="eastAsia" w:ascii="仿宋_GB2312" w:eastAsia="仿宋_GB2312"/>
          <w:sz w:val="24"/>
          <w:szCs w:val="24"/>
        </w:rPr>
        <w:t>4.备注栏填写本机关行政执法职权行使情况（包含本机关具有的行政执法职权及职权行使情况小结）。</w:t>
      </w:r>
      <w:bookmarkStart w:id="0" w:name="_GoBack"/>
      <w:bookmarkEnd w:id="0"/>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ind w:left="-178" w:leftChars="-85"/>
        <w:rPr>
          <w:rFonts w:ascii="仿宋_GB2312" w:eastAsia="仿宋_GB2312"/>
          <w:sz w:val="28"/>
          <w:szCs w:val="28"/>
        </w:rPr>
      </w:pPr>
      <w:r>
        <w:rPr>
          <w:rFonts w:hint="eastAsia" w:ascii="仿宋_GB2312" w:eastAsia="仿宋_GB2312"/>
          <w:sz w:val="28"/>
          <w:szCs w:val="28"/>
        </w:rPr>
        <w:t xml:space="preserve"> </w:t>
      </w:r>
    </w:p>
    <w:p>
      <w:pPr>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98FCC1"/>
    <w:multiLevelType w:val="singleLevel"/>
    <w:tmpl w:val="D398FCC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6188"/>
    <w:rsid w:val="002B4C12"/>
    <w:rsid w:val="004062C4"/>
    <w:rsid w:val="00B26188"/>
    <w:rsid w:val="00C97D2A"/>
    <w:rsid w:val="05C51AD3"/>
    <w:rsid w:val="0CD148B6"/>
    <w:rsid w:val="1428592C"/>
    <w:rsid w:val="231A115E"/>
    <w:rsid w:val="2CBC4FFA"/>
    <w:rsid w:val="2D717351"/>
    <w:rsid w:val="31592E34"/>
    <w:rsid w:val="34A83DD6"/>
    <w:rsid w:val="3F0A5EED"/>
    <w:rsid w:val="493D18D2"/>
    <w:rsid w:val="551330EC"/>
    <w:rsid w:val="71AC46F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97</Words>
  <Characters>554</Characters>
  <Lines>4</Lines>
  <Paragraphs>1</Paragraphs>
  <ScaleCrop>false</ScaleCrop>
  <LinksUpToDate>false</LinksUpToDate>
  <CharactersWithSpaces>650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2020-02-25T03:04:00Z</dcterms:created>
  <dc:creator>杨静美</dc:creator>
  <cp:lastModifiedBy>办公室</cp:lastModifiedBy>
  <dcterms:modified xsi:type="dcterms:W3CDTF">2021-02-18T09:28:09Z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