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eastAsia="仿宋" w:cs="仿宋"/>
          <w:sz w:val="48"/>
          <w:szCs w:val="48"/>
        </w:rPr>
      </w:pPr>
    </w:p>
    <w:p>
      <w:pPr>
        <w:spacing w:line="700" w:lineRule="exact"/>
        <w:jc w:val="both"/>
        <w:rPr>
          <w:rFonts w:hint="eastAsia" w:ascii="宋体" w:hAnsi="宋体" w:eastAsia="仿宋" w:cs="仿宋"/>
          <w:b/>
          <w:bCs/>
          <w:sz w:val="40"/>
          <w:szCs w:val="40"/>
        </w:rPr>
      </w:pPr>
    </w:p>
    <w:p>
      <w:pPr>
        <w:spacing w:line="700" w:lineRule="exact"/>
        <w:jc w:val="center"/>
        <w:rPr>
          <w:rFonts w:hint="eastAsia" w:ascii="宋体" w:hAnsi="宋体" w:eastAsia="仿宋" w:cs="仿宋"/>
          <w:b/>
          <w:bCs/>
          <w:sz w:val="40"/>
          <w:szCs w:val="40"/>
        </w:rPr>
      </w:pPr>
      <w:r>
        <w:rPr>
          <w:rFonts w:hint="eastAsia" w:ascii="宋体" w:hAnsi="宋体" w:eastAsia="仿宋" w:cs="仿宋"/>
          <w:b/>
          <w:bCs/>
          <w:sz w:val="40"/>
          <w:szCs w:val="40"/>
        </w:rPr>
        <w:t>鹤庆县“十</w:t>
      </w:r>
      <w:r>
        <w:rPr>
          <w:rFonts w:hint="eastAsia" w:ascii="宋体" w:hAnsi="宋体" w:eastAsia="仿宋" w:cs="仿宋"/>
          <w:b/>
          <w:bCs/>
          <w:sz w:val="40"/>
          <w:szCs w:val="40"/>
          <w:lang w:val="en-US" w:eastAsia="zh-CN"/>
        </w:rPr>
        <w:t>四</w:t>
      </w:r>
      <w:r>
        <w:rPr>
          <w:rFonts w:hint="eastAsia" w:ascii="宋体" w:hAnsi="宋体" w:eastAsia="仿宋" w:cs="仿宋"/>
          <w:b/>
          <w:bCs/>
          <w:sz w:val="40"/>
          <w:szCs w:val="40"/>
        </w:rPr>
        <w:t>五”“绿色食品牌”建设发展规划</w:t>
      </w:r>
    </w:p>
    <w:p>
      <w:pPr>
        <w:spacing w:line="700" w:lineRule="exact"/>
        <w:jc w:val="center"/>
        <w:rPr>
          <w:rFonts w:hint="eastAsia" w:ascii="宋体" w:hAnsi="宋体" w:eastAsia="仿宋" w:cs="仿宋"/>
          <w:sz w:val="32"/>
          <w:szCs w:val="32"/>
        </w:rPr>
      </w:pPr>
      <w:r>
        <w:rPr>
          <w:rFonts w:hint="eastAsia" w:ascii="宋体" w:hAnsi="宋体" w:eastAsia="仿宋" w:cs="仿宋"/>
          <w:sz w:val="32"/>
          <w:szCs w:val="32"/>
        </w:rPr>
        <w:t>(20</w:t>
      </w:r>
      <w:r>
        <w:rPr>
          <w:rFonts w:hint="eastAsia" w:ascii="宋体" w:hAnsi="宋体" w:eastAsia="仿宋" w:cs="仿宋"/>
          <w:sz w:val="32"/>
          <w:szCs w:val="32"/>
          <w:lang w:val="en-US" w:eastAsia="zh-CN"/>
        </w:rPr>
        <w:t>21</w:t>
      </w:r>
      <w:r>
        <w:rPr>
          <w:rFonts w:hint="eastAsia" w:ascii="宋体" w:hAnsi="宋体" w:eastAsia="仿宋" w:cs="仿宋"/>
          <w:sz w:val="32"/>
          <w:szCs w:val="32"/>
        </w:rPr>
        <w:t>-202</w:t>
      </w:r>
      <w:r>
        <w:rPr>
          <w:rFonts w:hint="eastAsia" w:ascii="宋体" w:hAnsi="宋体" w:eastAsia="仿宋" w:cs="仿宋"/>
          <w:sz w:val="32"/>
          <w:szCs w:val="32"/>
          <w:lang w:val="en-US" w:eastAsia="zh-CN"/>
        </w:rPr>
        <w:t>5</w:t>
      </w:r>
      <w:r>
        <w:rPr>
          <w:rFonts w:hint="eastAsia" w:ascii="宋体" w:hAnsi="宋体" w:eastAsia="仿宋" w:cs="仿宋"/>
          <w:sz w:val="32"/>
          <w:szCs w:val="32"/>
        </w:rPr>
        <w:t>年)</w:t>
      </w:r>
    </w:p>
    <w:p>
      <w:pPr>
        <w:spacing w:line="560" w:lineRule="exact"/>
        <w:jc w:val="center"/>
        <w:rPr>
          <w:rFonts w:hint="eastAsia" w:ascii="宋体" w:hAnsi="宋体" w:eastAsia="仿宋" w:cs="仿宋"/>
          <w:sz w:val="32"/>
          <w:szCs w:val="32"/>
          <w:lang w:eastAsia="zh-CN"/>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left="0" w:leftChars="0" w:firstLine="0" w:firstLineChars="0"/>
        <w:jc w:val="center"/>
        <w:rPr>
          <w:rFonts w:hint="eastAsia" w:ascii="宋体" w:hAnsi="宋体" w:eastAsia="仿宋" w:cs="仿宋"/>
          <w:sz w:val="32"/>
          <w:szCs w:val="32"/>
        </w:rPr>
      </w:pPr>
      <w:r>
        <w:rPr>
          <w:rFonts w:hint="eastAsia" w:ascii="宋体" w:hAnsi="宋体" w:eastAsia="仿宋" w:cs="仿宋"/>
          <w:sz w:val="32"/>
          <w:szCs w:val="32"/>
        </w:rPr>
        <w:t>鹤庆县农业</w:t>
      </w:r>
      <w:r>
        <w:rPr>
          <w:rFonts w:hint="eastAsia" w:ascii="宋体" w:hAnsi="宋体" w:eastAsia="仿宋" w:cs="仿宋"/>
          <w:sz w:val="32"/>
          <w:szCs w:val="32"/>
          <w:lang w:val="en-US" w:eastAsia="zh-CN"/>
        </w:rPr>
        <w:t>农村</w:t>
      </w:r>
      <w:r>
        <w:rPr>
          <w:rFonts w:hint="eastAsia" w:ascii="宋体" w:hAnsi="宋体" w:eastAsia="仿宋" w:cs="仿宋"/>
          <w:sz w:val="32"/>
          <w:szCs w:val="32"/>
        </w:rPr>
        <w:t>局</w:t>
      </w:r>
    </w:p>
    <w:p>
      <w:pPr>
        <w:spacing w:line="560" w:lineRule="exact"/>
        <w:ind w:left="0" w:leftChars="0" w:firstLine="0" w:firstLineChars="0"/>
        <w:jc w:val="center"/>
        <w:rPr>
          <w:rFonts w:hint="eastAsia" w:ascii="宋体" w:hAnsi="宋体" w:eastAsia="仿宋" w:cs="仿宋"/>
          <w:sz w:val="32"/>
          <w:szCs w:val="32"/>
        </w:rPr>
      </w:pPr>
      <w:r>
        <w:rPr>
          <w:rFonts w:hint="eastAsia" w:ascii="宋体" w:hAnsi="宋体" w:eastAsia="仿宋" w:cs="仿宋"/>
          <w:sz w:val="32"/>
          <w:szCs w:val="32"/>
        </w:rPr>
        <w:t>二○二</w:t>
      </w:r>
      <w:r>
        <w:rPr>
          <w:rFonts w:hint="eastAsia" w:ascii="宋体" w:hAnsi="宋体" w:eastAsia="仿宋" w:cs="仿宋"/>
          <w:sz w:val="32"/>
          <w:szCs w:val="32"/>
          <w:lang w:eastAsia="zh-CN"/>
        </w:rPr>
        <w:t>一</w:t>
      </w:r>
      <w:r>
        <w:rPr>
          <w:rFonts w:hint="eastAsia" w:ascii="宋体" w:hAnsi="宋体" w:eastAsia="仿宋" w:cs="仿宋"/>
          <w:sz w:val="32"/>
          <w:szCs w:val="32"/>
        </w:rPr>
        <w:t>年○</w:t>
      </w:r>
      <w:r>
        <w:rPr>
          <w:rFonts w:hint="eastAsia" w:ascii="宋体" w:hAnsi="宋体" w:eastAsia="仿宋" w:cs="仿宋"/>
          <w:sz w:val="32"/>
          <w:szCs w:val="32"/>
          <w:lang w:val="en-US" w:eastAsia="zh-CN"/>
        </w:rPr>
        <w:t>八</w:t>
      </w:r>
      <w:r>
        <w:rPr>
          <w:rFonts w:hint="eastAsia" w:ascii="宋体" w:hAnsi="宋体" w:eastAsia="仿宋" w:cs="仿宋"/>
          <w:sz w:val="32"/>
          <w:szCs w:val="32"/>
        </w:rPr>
        <w:t>月</w:t>
      </w: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spacing w:line="560" w:lineRule="exact"/>
        <w:ind w:firstLine="640" w:firstLineChars="200"/>
        <w:jc w:val="center"/>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仿宋" w:cs="仿宋"/>
          <w:sz w:val="28"/>
          <w:szCs w:val="36"/>
          <w:lang w:eastAsia="zh-CN"/>
        </w:rPr>
      </w:pPr>
    </w:p>
    <w:sdt>
      <w:sdtPr>
        <w:rPr>
          <w:rFonts w:hint="eastAsia" w:ascii="宋体" w:hAnsi="宋体" w:eastAsia="仿宋" w:cs="仿宋"/>
          <w:kern w:val="2"/>
          <w:sz w:val="21"/>
          <w:szCs w:val="24"/>
          <w:lang w:val="en-US" w:eastAsia="zh-CN" w:bidi="ar-SA"/>
        </w:rPr>
        <w:id w:val="147475719"/>
        <w15:color w:val="DBDBDB"/>
        <w:docPartObj>
          <w:docPartGallery w:val="Table of Contents"/>
          <w:docPartUnique/>
        </w:docPartObj>
      </w:sdtPr>
      <w:sdtEndPr>
        <w:rPr>
          <w:rFonts w:hint="eastAsia" w:ascii="宋体" w:hAnsi="宋体" w:eastAsia="仿宋" w:cs="仿宋"/>
          <w:b/>
          <w:kern w:val="2"/>
          <w:sz w:val="21"/>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仿宋" w:cs="仿宋"/>
              <w:sz w:val="21"/>
              <w:szCs w:val="21"/>
            </w:rPr>
          </w:pPr>
          <w:r>
            <w:rPr>
              <w:rFonts w:hint="eastAsia" w:ascii="宋体" w:hAnsi="宋体" w:eastAsia="仿宋" w:cs="仿宋"/>
              <w:sz w:val="21"/>
              <w:szCs w:val="21"/>
            </w:rPr>
            <w:t>目录</w:t>
          </w:r>
        </w:p>
        <w:p>
          <w:pPr>
            <w:pStyle w:val="5"/>
            <w:tabs>
              <w:tab w:val="right" w:leader="dot" w:pos="8306"/>
            </w:tabs>
            <w:rPr>
              <w:rFonts w:ascii="宋体" w:hAnsi="宋体"/>
            </w:rPr>
          </w:pPr>
          <w:r>
            <w:rPr>
              <w:rFonts w:hint="eastAsia" w:ascii="宋体" w:hAnsi="宋体" w:eastAsia="仿宋" w:cs="仿宋"/>
              <w:sz w:val="21"/>
              <w:szCs w:val="21"/>
              <w:lang w:eastAsia="zh-CN"/>
            </w:rPr>
            <w:fldChar w:fldCharType="begin"/>
          </w:r>
          <w:r>
            <w:rPr>
              <w:rFonts w:hint="eastAsia" w:ascii="宋体" w:hAnsi="宋体" w:eastAsia="仿宋" w:cs="仿宋"/>
              <w:sz w:val="21"/>
              <w:szCs w:val="21"/>
              <w:lang w:eastAsia="zh-CN"/>
            </w:rPr>
            <w:instrText xml:space="preserve">TOC \o "1-2" \h \u </w:instrText>
          </w:r>
          <w:r>
            <w:rPr>
              <w:rFonts w:hint="eastAsia" w:ascii="宋体" w:hAnsi="宋体" w:eastAsia="仿宋" w:cs="仿宋"/>
              <w:sz w:val="21"/>
              <w:szCs w:val="21"/>
              <w:lang w:eastAsia="zh-CN"/>
            </w:rPr>
            <w:fldChar w:fldCharType="separate"/>
          </w: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_Toc160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一、 发展现状</w:t>
          </w:r>
          <w:r>
            <w:rPr>
              <w:rFonts w:ascii="宋体" w:hAnsi="宋体"/>
            </w:rPr>
            <w:tab/>
          </w:r>
          <w:r>
            <w:rPr>
              <w:rFonts w:ascii="宋体" w:hAnsi="宋体"/>
            </w:rPr>
            <w:fldChar w:fldCharType="begin"/>
          </w:r>
          <w:r>
            <w:rPr>
              <w:rFonts w:ascii="宋体" w:hAnsi="宋体"/>
            </w:rPr>
            <w:instrText xml:space="preserve"> PAGEREF _Toc160 \h </w:instrText>
          </w:r>
          <w:r>
            <w:rPr>
              <w:rFonts w:ascii="宋体" w:hAnsi="宋体"/>
            </w:rPr>
            <w:fldChar w:fldCharType="separate"/>
          </w:r>
          <w:r>
            <w:rPr>
              <w:rFonts w:ascii="宋体" w:hAnsi="宋体"/>
            </w:rPr>
            <w:t>1</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_Toc10686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 xml:space="preserve">（一） </w:t>
          </w:r>
          <w:r>
            <w:rPr>
              <w:rFonts w:hint="eastAsia" w:ascii="宋体" w:hAnsi="宋体" w:eastAsia="仿宋" w:cs="仿宋"/>
              <w:bCs/>
              <w:szCs w:val="32"/>
              <w:lang w:eastAsia="zh-CN"/>
            </w:rPr>
            <w:t>总体概况</w:t>
          </w:r>
          <w:r>
            <w:rPr>
              <w:rFonts w:ascii="宋体" w:hAnsi="宋体"/>
            </w:rPr>
            <w:tab/>
          </w:r>
          <w:r>
            <w:rPr>
              <w:rFonts w:ascii="宋体" w:hAnsi="宋体"/>
            </w:rPr>
            <w:fldChar w:fldCharType="begin"/>
          </w:r>
          <w:r>
            <w:rPr>
              <w:rFonts w:ascii="宋体" w:hAnsi="宋体"/>
            </w:rPr>
            <w:instrText xml:space="preserve"> PAGEREF _Toc10686 \h </w:instrText>
          </w:r>
          <w:r>
            <w:rPr>
              <w:rFonts w:ascii="宋体" w:hAnsi="宋体"/>
            </w:rPr>
            <w:fldChar w:fldCharType="separate"/>
          </w:r>
          <w:r>
            <w:rPr>
              <w:rFonts w:ascii="宋体" w:hAnsi="宋体"/>
            </w:rPr>
            <w:t>1</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_Toc23171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（二） 面临形势</w:t>
          </w:r>
          <w:r>
            <w:rPr>
              <w:rFonts w:ascii="宋体" w:hAnsi="宋体"/>
            </w:rPr>
            <w:tab/>
          </w:r>
          <w:r>
            <w:rPr>
              <w:rFonts w:ascii="宋体" w:hAnsi="宋体"/>
            </w:rPr>
            <w:fldChar w:fldCharType="begin"/>
          </w:r>
          <w:r>
            <w:rPr>
              <w:rFonts w:ascii="宋体" w:hAnsi="宋体"/>
            </w:rPr>
            <w:instrText xml:space="preserve"> PAGEREF _Toc23171 \h </w:instrText>
          </w:r>
          <w:r>
            <w:rPr>
              <w:rFonts w:ascii="宋体" w:hAnsi="宋体"/>
            </w:rPr>
            <w:fldChar w:fldCharType="separate"/>
          </w:r>
          <w:r>
            <w:rPr>
              <w:rFonts w:ascii="宋体" w:hAnsi="宋体"/>
            </w:rPr>
            <w:t>2</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_Toc32712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（三） 存在的主要问题</w:t>
          </w:r>
          <w:r>
            <w:rPr>
              <w:rFonts w:ascii="宋体" w:hAnsi="宋体"/>
            </w:rPr>
            <w:tab/>
          </w:r>
          <w:r>
            <w:rPr>
              <w:rFonts w:ascii="宋体" w:hAnsi="宋体"/>
            </w:rPr>
            <w:fldChar w:fldCharType="begin"/>
          </w:r>
          <w:r>
            <w:rPr>
              <w:rFonts w:ascii="宋体" w:hAnsi="宋体"/>
            </w:rPr>
            <w:instrText xml:space="preserve"> PAGEREF _Toc32712 \h </w:instrText>
          </w:r>
          <w:r>
            <w:rPr>
              <w:rFonts w:ascii="宋体" w:hAnsi="宋体"/>
            </w:rPr>
            <w:fldChar w:fldCharType="separate"/>
          </w:r>
          <w:r>
            <w:rPr>
              <w:rFonts w:ascii="宋体" w:hAnsi="宋体"/>
            </w:rPr>
            <w:t>3</w:t>
          </w:r>
          <w:r>
            <w:rPr>
              <w:rFonts w:ascii="宋体" w:hAnsi="宋体"/>
            </w:rPr>
            <w:fldChar w:fldCharType="end"/>
          </w:r>
          <w:r>
            <w:rPr>
              <w:rFonts w:hint="eastAsia" w:ascii="宋体" w:hAnsi="宋体" w:eastAsia="仿宋" w:cs="仿宋"/>
              <w:szCs w:val="21"/>
              <w:lang w:eastAsia="zh-CN"/>
            </w:rPr>
            <w:fldChar w:fldCharType="end"/>
          </w:r>
        </w:p>
        <w:p>
          <w:pPr>
            <w:pStyle w:val="5"/>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_Toc30057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二、 总体方案</w:t>
          </w:r>
          <w:r>
            <w:rPr>
              <w:rFonts w:ascii="宋体" w:hAnsi="宋体"/>
            </w:rPr>
            <w:tab/>
          </w:r>
          <w:r>
            <w:rPr>
              <w:rFonts w:ascii="宋体" w:hAnsi="宋体"/>
            </w:rPr>
            <w:fldChar w:fldCharType="begin"/>
          </w:r>
          <w:r>
            <w:rPr>
              <w:rFonts w:ascii="宋体" w:hAnsi="宋体"/>
            </w:rPr>
            <w:instrText xml:space="preserve"> PAGEREF _Toc30057 \h </w:instrText>
          </w:r>
          <w:r>
            <w:rPr>
              <w:rFonts w:ascii="宋体" w:hAnsi="宋体"/>
            </w:rPr>
            <w:fldChar w:fldCharType="separate"/>
          </w:r>
          <w:r>
            <w:rPr>
              <w:rFonts w:ascii="宋体" w:hAnsi="宋体"/>
            </w:rPr>
            <w:t>4</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_Toc32678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（一） 指导思想</w:t>
          </w:r>
          <w:r>
            <w:rPr>
              <w:rFonts w:ascii="宋体" w:hAnsi="宋体"/>
            </w:rPr>
            <w:tab/>
          </w:r>
          <w:r>
            <w:rPr>
              <w:rFonts w:ascii="宋体" w:hAnsi="宋体"/>
            </w:rPr>
            <w:fldChar w:fldCharType="begin"/>
          </w:r>
          <w:r>
            <w:rPr>
              <w:rFonts w:ascii="宋体" w:hAnsi="宋体"/>
            </w:rPr>
            <w:instrText xml:space="preserve"> PAGEREF _Toc32678 \h </w:instrText>
          </w:r>
          <w:r>
            <w:rPr>
              <w:rFonts w:ascii="宋体" w:hAnsi="宋体"/>
            </w:rPr>
            <w:fldChar w:fldCharType="separate"/>
          </w:r>
          <w:r>
            <w:rPr>
              <w:rFonts w:ascii="宋体" w:hAnsi="宋体"/>
            </w:rPr>
            <w:t>4</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_Toc3393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（二） 基本原则</w:t>
          </w:r>
          <w:r>
            <w:rPr>
              <w:rFonts w:ascii="宋体" w:hAnsi="宋体"/>
            </w:rPr>
            <w:tab/>
          </w:r>
          <w:r>
            <w:rPr>
              <w:rFonts w:ascii="宋体" w:hAnsi="宋体"/>
            </w:rPr>
            <w:fldChar w:fldCharType="begin"/>
          </w:r>
          <w:r>
            <w:rPr>
              <w:rFonts w:ascii="宋体" w:hAnsi="宋体"/>
            </w:rPr>
            <w:instrText xml:space="preserve"> PAGEREF _Toc3393 \h </w:instrText>
          </w:r>
          <w:r>
            <w:rPr>
              <w:rFonts w:ascii="宋体" w:hAnsi="宋体"/>
            </w:rPr>
            <w:fldChar w:fldCharType="separate"/>
          </w:r>
          <w:r>
            <w:rPr>
              <w:rFonts w:ascii="宋体" w:hAnsi="宋体"/>
            </w:rPr>
            <w:t>5</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_Toc22124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（三） 规划目标</w:t>
          </w:r>
          <w:r>
            <w:rPr>
              <w:rFonts w:ascii="宋体" w:hAnsi="宋体"/>
            </w:rPr>
            <w:tab/>
          </w:r>
          <w:r>
            <w:rPr>
              <w:rFonts w:ascii="宋体" w:hAnsi="宋体"/>
            </w:rPr>
            <w:fldChar w:fldCharType="begin"/>
          </w:r>
          <w:r>
            <w:rPr>
              <w:rFonts w:ascii="宋体" w:hAnsi="宋体"/>
            </w:rPr>
            <w:instrText xml:space="preserve"> PAGEREF _Toc22124 \h </w:instrText>
          </w:r>
          <w:r>
            <w:rPr>
              <w:rFonts w:ascii="宋体" w:hAnsi="宋体"/>
            </w:rPr>
            <w:fldChar w:fldCharType="separate"/>
          </w:r>
          <w:r>
            <w:rPr>
              <w:rFonts w:ascii="宋体" w:hAnsi="宋体"/>
            </w:rPr>
            <w:t>6</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_Toc36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（四） 产业布局</w:t>
          </w:r>
          <w:r>
            <w:rPr>
              <w:rFonts w:ascii="宋体" w:hAnsi="宋体"/>
            </w:rPr>
            <w:tab/>
          </w:r>
          <w:r>
            <w:rPr>
              <w:rFonts w:ascii="宋体" w:hAnsi="宋体"/>
            </w:rPr>
            <w:fldChar w:fldCharType="begin"/>
          </w:r>
          <w:r>
            <w:rPr>
              <w:rFonts w:ascii="宋体" w:hAnsi="宋体"/>
            </w:rPr>
            <w:instrText xml:space="preserve"> PAGEREF _Toc36 \h </w:instrText>
          </w:r>
          <w:r>
            <w:rPr>
              <w:rFonts w:ascii="宋体" w:hAnsi="宋体"/>
            </w:rPr>
            <w:fldChar w:fldCharType="separate"/>
          </w:r>
          <w:r>
            <w:rPr>
              <w:rFonts w:ascii="宋体" w:hAnsi="宋体"/>
            </w:rPr>
            <w:t>8</w:t>
          </w:r>
          <w:r>
            <w:rPr>
              <w:rFonts w:ascii="宋体" w:hAnsi="宋体"/>
            </w:rPr>
            <w:fldChar w:fldCharType="end"/>
          </w:r>
          <w:r>
            <w:rPr>
              <w:rFonts w:hint="eastAsia" w:ascii="宋体" w:hAnsi="宋体" w:eastAsia="仿宋" w:cs="仿宋"/>
              <w:szCs w:val="21"/>
              <w:lang w:eastAsia="zh-CN"/>
            </w:rPr>
            <w:fldChar w:fldCharType="end"/>
          </w:r>
        </w:p>
        <w:p>
          <w:pPr>
            <w:pStyle w:val="5"/>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_Toc8641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三、 重点任务</w:t>
          </w:r>
          <w:r>
            <w:rPr>
              <w:rFonts w:ascii="宋体" w:hAnsi="宋体"/>
            </w:rPr>
            <w:tab/>
          </w:r>
          <w:r>
            <w:rPr>
              <w:rFonts w:ascii="宋体" w:hAnsi="宋体"/>
            </w:rPr>
            <w:fldChar w:fldCharType="begin"/>
          </w:r>
          <w:r>
            <w:rPr>
              <w:rFonts w:ascii="宋体" w:hAnsi="宋体"/>
            </w:rPr>
            <w:instrText xml:space="preserve"> PAGEREF _Toc8641 \h </w:instrText>
          </w:r>
          <w:r>
            <w:rPr>
              <w:rFonts w:ascii="宋体" w:hAnsi="宋体"/>
            </w:rPr>
            <w:fldChar w:fldCharType="separate"/>
          </w:r>
          <w:r>
            <w:rPr>
              <w:rFonts w:ascii="宋体" w:hAnsi="宋体"/>
            </w:rPr>
            <w:t>10</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_Toc5451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（一） 着力培育绿色食品品牌</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1</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_Toc21375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（二） 培育绿色食品经营主体</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4</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_Toc10400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（三） 强化“绿色食品牌”种养基地</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5</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_Toc11124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（四） 拓展“绿色食品牌”市场</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6</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_Toc18433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（五） 提升绿色食品加工水平，促进绿色食品商品化</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6</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_Toc16426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（六） 提高绿色食品质量安全水平</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7</w:t>
          </w:r>
        </w:p>
        <w:p>
          <w:pPr>
            <w:pStyle w:val="5"/>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_Toc30574 </w:instrText>
          </w:r>
          <w:r>
            <w:rPr>
              <w:rFonts w:hint="eastAsia" w:ascii="宋体" w:hAnsi="宋体" w:eastAsia="仿宋" w:cs="仿宋"/>
              <w:szCs w:val="21"/>
              <w:lang w:eastAsia="zh-CN"/>
            </w:rPr>
            <w:fldChar w:fldCharType="separate"/>
          </w:r>
          <w:r>
            <w:rPr>
              <w:rFonts w:hint="eastAsia" w:ascii="宋体" w:hAnsi="宋体" w:eastAsia="仿宋" w:cs="仿宋"/>
              <w:bCs/>
              <w:szCs w:val="32"/>
              <w:lang w:eastAsia="zh-CN"/>
            </w:rPr>
            <w:t>四、 保障措施</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7</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_Toc5847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 xml:space="preserve">（一） </w:t>
          </w:r>
          <w:r>
            <w:rPr>
              <w:rFonts w:hint="eastAsia" w:ascii="宋体" w:hAnsi="宋体" w:eastAsia="仿宋" w:cs="仿宋"/>
              <w:bCs/>
              <w:szCs w:val="32"/>
              <w:highlight w:val="none"/>
              <w:lang w:val="en-US" w:eastAsia="zh-CN"/>
            </w:rPr>
            <w:t>加强组织领导</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7</w:t>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_Toc15278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 xml:space="preserve">（二） </w:t>
          </w:r>
          <w:r>
            <w:rPr>
              <w:rFonts w:hint="eastAsia" w:ascii="宋体" w:hAnsi="宋体" w:eastAsia="仿宋" w:cs="仿宋"/>
              <w:bCs/>
              <w:szCs w:val="32"/>
              <w:highlight w:val="none"/>
              <w:lang w:val="en-US" w:eastAsia="zh-CN"/>
            </w:rPr>
            <w:t>创新金融支持</w:t>
          </w:r>
          <w:r>
            <w:rPr>
              <w:rFonts w:ascii="宋体" w:hAnsi="宋体"/>
            </w:rPr>
            <w:tab/>
          </w:r>
          <w:r>
            <w:rPr>
              <w:rFonts w:ascii="宋体" w:hAnsi="宋体"/>
            </w:rPr>
            <w:fldChar w:fldCharType="begin"/>
          </w:r>
          <w:r>
            <w:rPr>
              <w:rFonts w:ascii="宋体" w:hAnsi="宋体"/>
            </w:rPr>
            <w:instrText xml:space="preserve"> PAGEREF _Toc15278 \h </w:instrText>
          </w:r>
          <w:r>
            <w:rPr>
              <w:rFonts w:ascii="宋体" w:hAnsi="宋体"/>
            </w:rPr>
            <w:fldChar w:fldCharType="separate"/>
          </w:r>
          <w:r>
            <w:rPr>
              <w:rFonts w:ascii="宋体" w:hAnsi="宋体"/>
            </w:rPr>
            <w:t>17</w:t>
          </w:r>
          <w:r>
            <w:rPr>
              <w:rFonts w:ascii="宋体" w:hAnsi="宋体"/>
            </w:rPr>
            <w:fldChar w:fldCharType="end"/>
          </w:r>
          <w:r>
            <w:rPr>
              <w:rFonts w:hint="eastAsia" w:ascii="宋体" w:hAnsi="宋体" w:eastAsia="仿宋" w:cs="仿宋"/>
              <w:szCs w:val="21"/>
              <w:lang w:eastAsia="zh-CN"/>
            </w:rPr>
            <w:fldChar w:fldCharType="end"/>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_Toc3045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 xml:space="preserve">（三） </w:t>
          </w:r>
          <w:r>
            <w:rPr>
              <w:rFonts w:hint="eastAsia" w:ascii="宋体" w:hAnsi="宋体" w:eastAsia="仿宋" w:cs="仿宋"/>
              <w:bCs/>
              <w:szCs w:val="32"/>
              <w:highlight w:val="none"/>
              <w:lang w:val="en-US" w:eastAsia="zh-CN"/>
            </w:rPr>
            <w:t>营造加快绿色食品产业发展舆论氛围</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8</w:t>
          </w:r>
        </w:p>
        <w:p>
          <w:pPr>
            <w:pStyle w:val="6"/>
            <w:tabs>
              <w:tab w:val="right" w:leader="dot" w:pos="8306"/>
            </w:tabs>
            <w:rPr>
              <w:rFonts w:hint="default" w:ascii="宋体" w:hAnsi="宋体"/>
              <w:lang w:val="en-US"/>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_Toc18235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 xml:space="preserve">（四） </w:t>
          </w:r>
          <w:r>
            <w:rPr>
              <w:rFonts w:hint="eastAsia" w:ascii="宋体" w:hAnsi="宋体" w:eastAsia="仿宋" w:cs="仿宋"/>
              <w:bCs/>
              <w:szCs w:val="32"/>
              <w:highlight w:val="none"/>
              <w:lang w:val="en-US" w:eastAsia="zh-CN"/>
            </w:rPr>
            <w:t>强化市场监管</w:t>
          </w:r>
          <w:r>
            <w:rPr>
              <w:rFonts w:ascii="宋体" w:hAnsi="宋体"/>
            </w:rPr>
            <w:tab/>
          </w:r>
          <w:r>
            <w:rPr>
              <w:rFonts w:hint="eastAsia" w:ascii="宋体" w:hAnsi="宋体"/>
              <w:lang w:val="en-US" w:eastAsia="zh-CN"/>
            </w:rPr>
            <w:t>1</w:t>
          </w:r>
          <w:r>
            <w:rPr>
              <w:rFonts w:hint="eastAsia" w:ascii="宋体" w:hAnsi="宋体" w:eastAsia="仿宋" w:cs="仿宋"/>
              <w:szCs w:val="21"/>
              <w:lang w:eastAsia="zh-CN"/>
            </w:rPr>
            <w:fldChar w:fldCharType="end"/>
          </w:r>
          <w:r>
            <w:rPr>
              <w:rFonts w:hint="eastAsia" w:ascii="宋体" w:hAnsi="宋体" w:eastAsia="仿宋" w:cs="仿宋"/>
              <w:szCs w:val="21"/>
              <w:lang w:val="en-US" w:eastAsia="zh-CN"/>
            </w:rPr>
            <w:t>8</w:t>
          </w:r>
        </w:p>
        <w:p>
          <w:pPr>
            <w:pStyle w:val="6"/>
            <w:tabs>
              <w:tab w:val="right" w:leader="dot" w:pos="8306"/>
            </w:tabs>
            <w:rPr>
              <w:rFonts w:ascii="宋体" w:hAnsi="宋体"/>
            </w:rPr>
          </w:pPr>
          <w:r>
            <w:rPr>
              <w:rFonts w:hint="eastAsia" w:ascii="宋体" w:hAnsi="宋体" w:eastAsia="仿宋" w:cs="仿宋"/>
              <w:szCs w:val="21"/>
              <w:lang w:eastAsia="zh-CN"/>
            </w:rPr>
            <w:fldChar w:fldCharType="begin"/>
          </w:r>
          <w:r>
            <w:rPr>
              <w:rFonts w:hint="eastAsia" w:ascii="宋体" w:hAnsi="宋体" w:eastAsia="仿宋" w:cs="仿宋"/>
              <w:szCs w:val="21"/>
              <w:lang w:eastAsia="zh-CN"/>
            </w:rPr>
            <w:instrText xml:space="preserve"> HYPERLINK \l _Toc6329 </w:instrText>
          </w:r>
          <w:r>
            <w:rPr>
              <w:rFonts w:hint="eastAsia" w:ascii="宋体" w:hAnsi="宋体" w:eastAsia="仿宋" w:cs="仿宋"/>
              <w:szCs w:val="21"/>
              <w:lang w:eastAsia="zh-CN"/>
            </w:rPr>
            <w:fldChar w:fldCharType="separate"/>
          </w:r>
          <w:r>
            <w:rPr>
              <w:rFonts w:hint="eastAsia" w:ascii="宋体" w:hAnsi="宋体" w:eastAsia="仿宋" w:cs="仿宋"/>
              <w:bCs/>
              <w:szCs w:val="32"/>
              <w:lang w:val="en-US" w:eastAsia="zh-CN"/>
            </w:rPr>
            <w:t xml:space="preserve">（五） </w:t>
          </w:r>
          <w:r>
            <w:rPr>
              <w:rFonts w:hint="eastAsia" w:ascii="宋体" w:hAnsi="宋体" w:eastAsia="仿宋" w:cs="仿宋"/>
              <w:bCs/>
              <w:szCs w:val="32"/>
              <w:highlight w:val="none"/>
              <w:lang w:val="en-US" w:eastAsia="zh-CN"/>
            </w:rPr>
            <w:t>注重绩效考核</w:t>
          </w:r>
          <w:r>
            <w:rPr>
              <w:rFonts w:ascii="宋体" w:hAnsi="宋体"/>
            </w:rPr>
            <w:tab/>
          </w:r>
          <w:r>
            <w:rPr>
              <w:rFonts w:ascii="宋体" w:hAnsi="宋体"/>
            </w:rPr>
            <w:fldChar w:fldCharType="begin"/>
          </w:r>
          <w:r>
            <w:rPr>
              <w:rFonts w:ascii="宋体" w:hAnsi="宋体"/>
            </w:rPr>
            <w:instrText xml:space="preserve"> PAGEREF _Toc6329 \h </w:instrText>
          </w:r>
          <w:r>
            <w:rPr>
              <w:rFonts w:ascii="宋体" w:hAnsi="宋体"/>
            </w:rPr>
            <w:fldChar w:fldCharType="separate"/>
          </w:r>
          <w:r>
            <w:rPr>
              <w:rFonts w:ascii="宋体" w:hAnsi="宋体"/>
            </w:rPr>
            <w:t>18</w:t>
          </w:r>
          <w:r>
            <w:rPr>
              <w:rFonts w:ascii="宋体" w:hAnsi="宋体"/>
            </w:rPr>
            <w:fldChar w:fldCharType="end"/>
          </w:r>
          <w:r>
            <w:rPr>
              <w:rFonts w:hint="eastAsia" w:ascii="宋体" w:hAnsi="宋体" w:eastAsia="仿宋" w:cs="仿宋"/>
              <w:szCs w:val="21"/>
              <w:lang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仿宋" w:cs="仿宋"/>
              <w:b/>
              <w:kern w:val="2"/>
              <w:sz w:val="21"/>
              <w:szCs w:val="36"/>
              <w:lang w:val="en-US" w:eastAsia="zh-CN" w:bidi="ar-SA"/>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仿宋" w:cs="仿宋"/>
              <w:szCs w:val="21"/>
              <w:lang w:eastAsia="zh-CN"/>
            </w:rPr>
            <w:fldChar w:fldCharType="end"/>
          </w:r>
        </w:p>
      </w:sdtContent>
    </w:sdt>
    <w:p>
      <w:pPr>
        <w:ind w:left="0" w:leftChars="0" w:firstLine="640" w:firstLineChars="200"/>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为深入贯彻落实党的十九大精神和省、州实施乡村振兴战略的重大决策部署，践行省委、省政府全力打造世界一流“绿色食品牌”的战略部署，按照《大理白族自治州人民政府关于打造世界一流“绿色食品牌”的实施意见》、《鹤庆县关于打造世界一流“绿色食品牌”的实施意见》，加快农业</w:t>
      </w:r>
      <w:bookmarkStart w:id="22" w:name="_GoBack"/>
      <w:bookmarkEnd w:id="22"/>
      <w:r>
        <w:rPr>
          <w:rFonts w:hint="eastAsia" w:ascii="宋体" w:hAnsi="宋体" w:eastAsia="方正仿宋_GBK" w:cs="方正仿宋_GBK"/>
          <w:sz w:val="32"/>
          <w:szCs w:val="32"/>
          <w:lang w:eastAsia="zh-CN"/>
        </w:rPr>
        <w:t>供给侧结构性改革，形成产出高效、产品安全、资源节约、环境友好的农业发展道路，推动形成绿色生产生活方式，为乡村振兴提供发展新动能，促进鹤庆高原特色现代化农业高质量发展，结合鹤庆县实际，</w:t>
      </w:r>
      <w:r>
        <w:rPr>
          <w:rFonts w:hint="eastAsia" w:ascii="宋体" w:hAnsi="宋体" w:eastAsia="方正仿宋_GBK" w:cs="方正仿宋_GBK"/>
          <w:sz w:val="32"/>
          <w:szCs w:val="32"/>
          <w:highlight w:val="none"/>
          <w:lang w:eastAsia="zh-CN"/>
        </w:rPr>
        <w:t>特编制《鹤庆县“十四五”“绿色食品牌”建设发展规划》</w:t>
      </w:r>
      <w:r>
        <w:rPr>
          <w:rFonts w:hint="eastAsia" w:ascii="宋体" w:hAnsi="宋体" w:eastAsia="方正仿宋_GBK" w:cs="方正仿宋_GBK"/>
          <w:sz w:val="32"/>
          <w:szCs w:val="32"/>
          <w:lang w:eastAsia="zh-CN"/>
        </w:rPr>
        <w:t>。</w:t>
      </w:r>
    </w:p>
    <w:p>
      <w:pPr>
        <w:numPr>
          <w:ilvl w:val="0"/>
          <w:numId w:val="1"/>
        </w:numPr>
        <w:ind w:left="0" w:leftChars="0" w:firstLine="640" w:firstLineChars="200"/>
        <w:outlineLvl w:val="0"/>
        <w:rPr>
          <w:rFonts w:hint="eastAsia" w:ascii="宋体" w:hAnsi="宋体" w:eastAsia="方正黑体_GBK" w:cs="方正黑体_GBK"/>
          <w:b w:val="0"/>
          <w:bCs w:val="0"/>
          <w:sz w:val="32"/>
          <w:szCs w:val="32"/>
          <w:lang w:eastAsia="zh-CN"/>
        </w:rPr>
      </w:pPr>
      <w:bookmarkStart w:id="0" w:name="_Toc160"/>
      <w:r>
        <w:rPr>
          <w:rFonts w:hint="eastAsia" w:ascii="宋体" w:hAnsi="宋体" w:eastAsia="方正黑体_GBK" w:cs="方正黑体_GBK"/>
          <w:b w:val="0"/>
          <w:bCs w:val="0"/>
          <w:sz w:val="32"/>
          <w:szCs w:val="32"/>
          <w:lang w:eastAsia="zh-CN"/>
        </w:rPr>
        <w:t>发展现状</w:t>
      </w:r>
      <w:bookmarkEnd w:id="0"/>
    </w:p>
    <w:p>
      <w:pPr>
        <w:ind w:left="0" w:leftChars="0" w:firstLine="640" w:firstLineChars="200"/>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“十三五”时期，尤其是201</w:t>
      </w:r>
      <w:r>
        <w:rPr>
          <w:rFonts w:hint="eastAsia" w:ascii="宋体" w:hAnsi="宋体" w:eastAsia="方正仿宋_GBK" w:cs="方正仿宋_GBK"/>
          <w:sz w:val="32"/>
          <w:szCs w:val="32"/>
          <w:lang w:val="en-US" w:eastAsia="zh-CN"/>
        </w:rPr>
        <w:t>5</w:t>
      </w:r>
      <w:r>
        <w:rPr>
          <w:rFonts w:hint="eastAsia" w:ascii="宋体" w:hAnsi="宋体" w:eastAsia="方正仿宋_GBK" w:cs="方正仿宋_GBK"/>
          <w:sz w:val="32"/>
          <w:szCs w:val="32"/>
          <w:lang w:eastAsia="zh-CN"/>
        </w:rPr>
        <w:t>年县政府发布农业现代化发展规划之后，我县以生态保护为前提，努力夯实高原粮仓，着力巩固粮食、蚕桑、烟草、畜牧传统产业，加快发展蔬菜、林果、中药材、特色花卉、淡水渔业、休闲农业等新兴产业，推进新型工业化、信息化、城镇化、农业现代化和绿色化，探索具有高原特色、鹤庆特点的农业现代化跨越发展之路，促进一二三产业融合发展，绿色食品核心竞争力显著提升，对促进全县经济稳增长、调结构发挥了重要作用。</w:t>
      </w:r>
    </w:p>
    <w:p>
      <w:pPr>
        <w:numPr>
          <w:ilvl w:val="0"/>
          <w:numId w:val="2"/>
        </w:numPr>
        <w:ind w:left="0" w:leftChars="0" w:firstLine="640" w:firstLineChars="200"/>
        <w:outlineLvl w:val="1"/>
        <w:rPr>
          <w:rFonts w:hint="eastAsia" w:ascii="宋体" w:hAnsi="宋体" w:eastAsia="方正楷体_GBK" w:cs="方正楷体_GBK"/>
          <w:b w:val="0"/>
          <w:bCs w:val="0"/>
          <w:sz w:val="32"/>
          <w:szCs w:val="32"/>
          <w:lang w:val="en-US" w:eastAsia="zh-CN"/>
        </w:rPr>
      </w:pPr>
      <w:bookmarkStart w:id="1" w:name="_Toc10686"/>
      <w:r>
        <w:rPr>
          <w:rFonts w:hint="eastAsia" w:ascii="宋体" w:hAnsi="宋体" w:eastAsia="方正楷体_GBK" w:cs="方正楷体_GBK"/>
          <w:b w:val="0"/>
          <w:bCs w:val="0"/>
          <w:sz w:val="32"/>
          <w:szCs w:val="32"/>
          <w:lang w:eastAsia="zh-CN"/>
        </w:rPr>
        <w:t>总体概况</w:t>
      </w:r>
      <w:bookmarkEnd w:id="1"/>
    </w:p>
    <w:p>
      <w:pPr>
        <w:ind w:left="0" w:leftChars="0" w:firstLine="640" w:firstLineChars="200"/>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lang w:val="en-US" w:eastAsia="zh-CN"/>
        </w:rPr>
        <w:t>农产品保障能力不断加强，绿色食品规模不断扩大,特色产业快速发展。2020年，全县粮食作物播种面积稳定在39万亩以上，粮食总产量稳定在14万吨以上，</w:t>
      </w:r>
      <w:r>
        <w:rPr>
          <w:rFonts w:hint="eastAsia" w:ascii="宋体" w:hAnsi="宋体" w:eastAsia="方正仿宋_GBK" w:cs="方正仿宋_GBK"/>
          <w:sz w:val="32"/>
          <w:szCs w:val="32"/>
          <w:highlight w:val="none"/>
          <w:lang w:val="en-US" w:eastAsia="zh-CN"/>
        </w:rPr>
        <w:t>全力发展以“两牛一猪”为重点的现代畜牧产业，生猪、牛、羊出栏居全州前列，畜牧业规模化养殖水平快速提高。</w:t>
      </w:r>
    </w:p>
    <w:p>
      <w:pPr>
        <w:ind w:left="0" w:leftChars="0"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bCs/>
          <w:color w:val="000000"/>
          <w:sz w:val="32"/>
          <w:szCs w:val="32"/>
          <w:lang w:val="en-US" w:eastAsia="zh-CN"/>
        </w:rPr>
        <w:t>正积极</w:t>
      </w:r>
      <w:r>
        <w:rPr>
          <w:rFonts w:hint="eastAsia" w:ascii="宋体" w:hAnsi="宋体" w:eastAsia="方正仿宋_GBK" w:cs="方正仿宋_GBK"/>
          <w:bCs/>
          <w:color w:val="000000"/>
          <w:sz w:val="32"/>
          <w:szCs w:val="32"/>
        </w:rPr>
        <w:t>开展“</w:t>
      </w:r>
      <w:r>
        <w:rPr>
          <w:rFonts w:hint="eastAsia" w:ascii="宋体" w:hAnsi="宋体" w:eastAsia="方正仿宋_GBK" w:cs="方正仿宋_GBK"/>
          <w:sz w:val="32"/>
          <w:szCs w:val="32"/>
          <w:lang w:val="en-US" w:eastAsia="zh-CN"/>
        </w:rPr>
        <w:t>三品</w:t>
      </w:r>
      <w:r>
        <w:rPr>
          <w:rFonts w:hint="eastAsia" w:ascii="宋体" w:hAnsi="宋体" w:eastAsia="方正仿宋_GBK" w:cs="方正仿宋_GBK"/>
          <w:bCs/>
          <w:color w:val="000000"/>
          <w:sz w:val="32"/>
          <w:szCs w:val="32"/>
        </w:rPr>
        <w:t>一标”认证工作</w:t>
      </w:r>
      <w:r>
        <w:rPr>
          <w:rFonts w:hint="eastAsia" w:ascii="宋体" w:hAnsi="宋体" w:eastAsia="方正仿宋_GBK" w:cs="方正仿宋_GBK"/>
          <w:bCs/>
          <w:color w:val="000000"/>
          <w:sz w:val="32"/>
          <w:szCs w:val="32"/>
          <w:lang w:eastAsia="zh-CN"/>
        </w:rPr>
        <w:t>，截止到</w:t>
      </w:r>
      <w:r>
        <w:rPr>
          <w:rFonts w:hint="eastAsia" w:ascii="宋体" w:hAnsi="宋体" w:eastAsia="方正仿宋_GBK" w:cs="方正仿宋_GBK"/>
          <w:bCs/>
          <w:color w:val="000000"/>
          <w:sz w:val="32"/>
          <w:szCs w:val="32"/>
          <w:lang w:val="en-US" w:eastAsia="zh-CN"/>
        </w:rPr>
        <w:t>2020年</w:t>
      </w:r>
      <w:r>
        <w:rPr>
          <w:rFonts w:hint="eastAsia" w:ascii="宋体" w:hAnsi="宋体" w:eastAsia="方正仿宋_GBK" w:cs="方正仿宋_GBK"/>
          <w:bCs/>
          <w:color w:val="000000"/>
          <w:sz w:val="32"/>
          <w:szCs w:val="32"/>
          <w:lang w:eastAsia="zh-CN"/>
        </w:rPr>
        <w:t>，国家地理认证标志1个：马厂当归；无公害农产品3个：鹤庆大水箐农业发展有限公司食用玫瑰花、鹤庆中宝养殖场鸡蛋、鹤庆灿红生猪养殖场生猪；有机食品8个：鹤庆县现代农业庄园有限公司认证的：黑麦草、紫花苜蓿、玉米（青贮玉米）（养殖用）；鹤庆县现代农业庄园有限公司认证的奶牛、牛乳；大理五丰高原农业有限公司认证的辣椒、黑豆、松茸。绿色食品2个：鹤庆县兄弟果业发展有限公司认证的岩溪晚绿、沃柑。</w:t>
      </w:r>
    </w:p>
    <w:p>
      <w:pPr>
        <w:numPr>
          <w:ilvl w:val="0"/>
          <w:numId w:val="2"/>
        </w:numPr>
        <w:ind w:left="0" w:leftChars="0" w:firstLine="640" w:firstLineChars="200"/>
        <w:outlineLvl w:val="1"/>
        <w:rPr>
          <w:rFonts w:hint="eastAsia" w:ascii="宋体" w:hAnsi="宋体" w:eastAsia="方正楷体_GBK" w:cs="方正楷体_GBK"/>
          <w:b w:val="0"/>
          <w:bCs w:val="0"/>
          <w:sz w:val="32"/>
          <w:szCs w:val="32"/>
          <w:lang w:eastAsia="zh-CN"/>
        </w:rPr>
      </w:pPr>
      <w:bookmarkStart w:id="2" w:name="_Toc23171"/>
      <w:r>
        <w:rPr>
          <w:rFonts w:hint="eastAsia" w:ascii="宋体" w:hAnsi="宋体" w:eastAsia="方正楷体_GBK" w:cs="方正楷体_GBK"/>
          <w:b w:val="0"/>
          <w:bCs w:val="0"/>
          <w:sz w:val="32"/>
          <w:szCs w:val="32"/>
          <w:lang w:eastAsia="zh-CN"/>
        </w:rPr>
        <w:t>面临形势</w:t>
      </w:r>
      <w:bookmarkEnd w:id="2"/>
    </w:p>
    <w:p>
      <w:pPr>
        <w:numPr>
          <w:ilvl w:val="0"/>
          <w:numId w:val="3"/>
        </w:numPr>
        <w:ind w:left="0" w:leftChars="0"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发展机遇</w:t>
      </w:r>
    </w:p>
    <w:p>
      <w:pPr>
        <w:ind w:left="0" w:leftChars="0"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云南省持续打造“绿色能源、绿色食品、健康生活目的地”“三张牌”，做大做强优势特色产业，要保持战略定力，聚焦目标和突出问题，充分发挥州市和县市区的积极性、主动性，加大产业链和龙头项目建设力度，确保取得重大进展。鹤庆县应紧紧抓住这一机遇，依托全省发展定位创造的良好政策环境，按照“大产业+新主体+新平台”发展思路，努力做大做强做优绿色食品产业。以县域形成农产品加工产业集群为基础，深入落实“抓有机、创名牌、育龙头、占市场、建平台、解难题”主要举措，努力吧鹤庆建设成为全省绿色食品加工试验区。</w:t>
      </w:r>
    </w:p>
    <w:p>
      <w:pPr>
        <w:numPr>
          <w:ilvl w:val="0"/>
          <w:numId w:val="3"/>
        </w:numPr>
        <w:ind w:left="0" w:leftChars="0"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面临挑战</w:t>
      </w:r>
    </w:p>
    <w:p>
      <w:pPr>
        <w:ind w:left="0" w:leftChars="0"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一是食品产业靠单纯规模扩张和投资拉动的增长方式已经难以为继。“十三五”后期，全省范围内粮食加工、肉类屠宰加工、乳制品等食品工业领域出现了产能过剩，企业投资受到抑制，产业转型升级存在困难，而单纯靠政策性补贴难以支撑产业持久发展，倒逼食品产业新旧动能转化，由投资拉动转为创新驱动。这种形势下，我县近几年部分食品产业产量和产值均有小幅度降低，下一步食品产业向存量优化升级扩张要增量，加快发展难度较大。</w:t>
      </w:r>
    </w:p>
    <w:p>
      <w:pPr>
        <w:ind w:left="0" w:leftChars="0"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二是食品安全的严峻形势对食品企业质量安全管控能力提出了新要求。随着人们生活水平的提高、科技水平的进步以及对健康生活的追求，人们对食品安全的重视程度也不断攀升，对企业的主体责任意识、质量安全管控和风险应对能力，以及各级政府的质量安全监管能力，提出了更高要求。从我县来看，现有产业基础，还不能完全满足食品安全发展需求，在控制生产成本的前提下提高食品质量安全保障能力存在一定压力。</w:t>
      </w:r>
    </w:p>
    <w:p>
      <w:pPr>
        <w:numPr>
          <w:ilvl w:val="0"/>
          <w:numId w:val="2"/>
        </w:numPr>
        <w:ind w:left="0" w:leftChars="0" w:firstLine="640" w:firstLineChars="200"/>
        <w:outlineLvl w:val="1"/>
        <w:rPr>
          <w:rFonts w:hint="eastAsia" w:ascii="宋体" w:hAnsi="宋体" w:eastAsia="方正楷体_GBK" w:cs="方正楷体_GBK"/>
          <w:b w:val="0"/>
          <w:bCs w:val="0"/>
          <w:sz w:val="32"/>
          <w:szCs w:val="32"/>
          <w:lang w:eastAsia="zh-CN"/>
        </w:rPr>
      </w:pPr>
      <w:bookmarkStart w:id="3" w:name="_Toc32712"/>
      <w:r>
        <w:rPr>
          <w:rFonts w:hint="eastAsia" w:ascii="宋体" w:hAnsi="宋体" w:eastAsia="方正楷体_GBK" w:cs="方正楷体_GBK"/>
          <w:b w:val="0"/>
          <w:bCs w:val="0"/>
          <w:sz w:val="32"/>
          <w:szCs w:val="32"/>
          <w:lang w:eastAsia="zh-CN"/>
        </w:rPr>
        <w:t>存在的主要问题</w:t>
      </w:r>
      <w:bookmarkEnd w:id="3"/>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一是加工企业普遍规模小，参与资源深度开发、科技研发和市场开发能力弱，产品定位较低，对生产基地和农户带动能力不足。</w:t>
      </w:r>
    </w:p>
    <w:p>
      <w:pPr>
        <w:ind w:left="0" w:leftChars="0" w:firstLine="640" w:firstLineChars="200"/>
        <w:rPr>
          <w:rFonts w:hint="eastAsia" w:ascii="宋体" w:hAnsi="宋体" w:eastAsia="方正仿宋_GBK" w:cs="方正仿宋_GBK"/>
          <w:sz w:val="32"/>
          <w:szCs w:val="32"/>
          <w:lang w:eastAsia="zh-CN"/>
        </w:rPr>
      </w:pPr>
      <w:r>
        <w:rPr>
          <w:rFonts w:hint="eastAsia" w:ascii="宋体" w:hAnsi="宋体" w:eastAsia="方正仿宋_GBK" w:cs="方正仿宋_GBK"/>
          <w:b w:val="0"/>
          <w:bCs w:val="0"/>
          <w:sz w:val="32"/>
          <w:szCs w:val="32"/>
          <w:lang w:eastAsia="zh-CN"/>
        </w:rPr>
        <w:t>二是土地细碎化经营、</w:t>
      </w:r>
      <w:r>
        <w:rPr>
          <w:rFonts w:hint="eastAsia" w:ascii="宋体" w:hAnsi="宋体" w:eastAsia="方正仿宋_GBK" w:cs="方正仿宋_GBK"/>
          <w:sz w:val="32"/>
          <w:szCs w:val="32"/>
        </w:rPr>
        <w:t>规模化经营程度低</w:t>
      </w:r>
      <w:r>
        <w:rPr>
          <w:rFonts w:hint="eastAsia" w:ascii="宋体" w:hAnsi="宋体" w:eastAsia="方正仿宋_GBK" w:cs="方正仿宋_GBK"/>
          <w:sz w:val="32"/>
          <w:szCs w:val="32"/>
          <w:lang w:eastAsia="zh-CN"/>
        </w:rPr>
        <w:t>。耕地的“细碎化”问题，已经成为绿色食品发展的绊脚石，严重制约了农民的生产经营、土地流转、适度规模经营、农业产业化结构调整，导致土地综合利用率较低。</w:t>
      </w:r>
    </w:p>
    <w:p>
      <w:pPr>
        <w:ind w:left="0" w:leftChars="0" w:firstLine="640" w:firstLineChars="200"/>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三是龙头企业少、小、弱，产业带动作用不强的现状依然突出，加工率低，粗加工多，精深加工少，项目单一，产业链条短，装备落后。</w:t>
      </w:r>
    </w:p>
    <w:p>
      <w:pPr>
        <w:ind w:left="0" w:leftChars="0" w:firstLine="640" w:firstLineChars="200"/>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四是市场营销能力弱。特色产品仍以产地经销为主，既缺乏有现代营销理念和才能的营销人员和经纪人队伍，也缺乏连锁经营，配送经销等现代营销手段，导致“好东西”没能卖上“好价格”。</w:t>
      </w:r>
    </w:p>
    <w:p>
      <w:pPr>
        <w:numPr>
          <w:ilvl w:val="0"/>
          <w:numId w:val="1"/>
        </w:numPr>
        <w:ind w:left="0" w:leftChars="0" w:firstLine="640" w:firstLineChars="200"/>
        <w:outlineLvl w:val="0"/>
        <w:rPr>
          <w:rFonts w:hint="eastAsia" w:ascii="宋体" w:hAnsi="宋体" w:eastAsia="方正黑体_GBK" w:cs="方正黑体_GBK"/>
          <w:b w:val="0"/>
          <w:bCs w:val="0"/>
          <w:sz w:val="32"/>
          <w:szCs w:val="32"/>
          <w:lang w:eastAsia="zh-CN"/>
        </w:rPr>
      </w:pPr>
      <w:bookmarkStart w:id="4" w:name="_Toc30057"/>
      <w:r>
        <w:rPr>
          <w:rFonts w:hint="eastAsia" w:ascii="宋体" w:hAnsi="宋体" w:eastAsia="方正黑体_GBK" w:cs="方正黑体_GBK"/>
          <w:b w:val="0"/>
          <w:bCs w:val="0"/>
          <w:sz w:val="32"/>
          <w:szCs w:val="32"/>
          <w:lang w:eastAsia="zh-CN"/>
        </w:rPr>
        <w:t>总体方案</w:t>
      </w:r>
      <w:bookmarkEnd w:id="4"/>
    </w:p>
    <w:p>
      <w:pPr>
        <w:numPr>
          <w:ilvl w:val="0"/>
          <w:numId w:val="4"/>
        </w:numPr>
        <w:ind w:left="0" w:leftChars="0" w:firstLine="640" w:firstLineChars="200"/>
        <w:outlineLvl w:val="1"/>
        <w:rPr>
          <w:rFonts w:hint="eastAsia" w:ascii="宋体" w:hAnsi="宋体" w:eastAsia="方正楷体_GBK" w:cs="方正楷体_GBK"/>
          <w:b w:val="0"/>
          <w:bCs w:val="0"/>
          <w:sz w:val="32"/>
          <w:szCs w:val="32"/>
          <w:lang w:eastAsia="zh-CN"/>
        </w:rPr>
      </w:pPr>
      <w:bookmarkStart w:id="5" w:name="_Toc32678"/>
      <w:r>
        <w:rPr>
          <w:rFonts w:hint="eastAsia" w:ascii="宋体" w:hAnsi="宋体" w:eastAsia="方正楷体_GBK" w:cs="方正楷体_GBK"/>
          <w:b w:val="0"/>
          <w:bCs w:val="0"/>
          <w:sz w:val="32"/>
          <w:szCs w:val="32"/>
          <w:lang w:eastAsia="zh-CN"/>
        </w:rPr>
        <w:t>指导思想</w:t>
      </w:r>
      <w:bookmarkEnd w:id="5"/>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eastAsia="zh-CN"/>
        </w:rPr>
        <w:t>全面贯彻落实党的十九大精神，坚定以习近平新时代中国特色社会主义思想为指导，深入贯彻落实习近平总书记考察云南、大理重要讲话精神，围绕省委、省政府“绿色能源、绿色食品、健康生活目的地”“三张牌”的发展要求，把解决好“三农”问题作为全县工作重中之重，要以推进农业供给侧结构性改革为主线，以优化农业农村要素配置、产业结构、空间布局、管理方式为关键点，推进农业政策从增产导向转向提质导向，唱响质量兴农、绿色兴农、品牌强农主旋律，树牢绿色发展理念，以</w:t>
      </w:r>
      <w:r>
        <w:rPr>
          <w:rFonts w:hint="eastAsia" w:ascii="宋体" w:hAnsi="宋体" w:eastAsia="方正仿宋_GBK" w:cs="方正仿宋_GBK"/>
          <w:b w:val="0"/>
          <w:bCs w:val="0"/>
          <w:sz w:val="32"/>
          <w:szCs w:val="32"/>
          <w:highlight w:val="none"/>
          <w:lang w:eastAsia="zh-CN"/>
        </w:rPr>
        <w:t>乳畜、水果、绿色蔬菜、中药材</w:t>
      </w:r>
      <w:r>
        <w:rPr>
          <w:rFonts w:hint="eastAsia" w:ascii="宋体" w:hAnsi="宋体" w:eastAsia="方正仿宋_GBK" w:cs="方正仿宋_GBK"/>
          <w:b w:val="0"/>
          <w:bCs w:val="0"/>
          <w:sz w:val="32"/>
          <w:szCs w:val="32"/>
          <w:highlight w:val="none"/>
          <w:lang w:val="en-US" w:eastAsia="zh-CN"/>
        </w:rPr>
        <w:t>等特色绿色食品产业作为重点</w:t>
      </w:r>
      <w:r>
        <w:rPr>
          <w:rFonts w:hint="eastAsia" w:ascii="宋体" w:hAnsi="宋体" w:eastAsia="方正仿宋_GBK" w:cs="方正仿宋_GBK"/>
          <w:b w:val="0"/>
          <w:bCs w:val="0"/>
          <w:sz w:val="32"/>
          <w:szCs w:val="32"/>
          <w:lang w:val="en-US" w:eastAsia="zh-CN"/>
        </w:rPr>
        <w:t>，依靠科技进步,提高综合竞争力</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lang w:val="en-US" w:eastAsia="zh-CN"/>
        </w:rPr>
        <w:t>畅通信息渠道</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lang w:val="en-US" w:eastAsia="zh-CN"/>
        </w:rPr>
        <w:t>取得市场主动权</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lang w:val="en-US" w:eastAsia="zh-CN"/>
        </w:rPr>
        <w:t>实现专业化发展</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lang w:val="en-US" w:eastAsia="zh-CN"/>
        </w:rPr>
        <w:t>市场化运作</w:t>
      </w:r>
      <w:r>
        <w:rPr>
          <w:rFonts w:hint="eastAsia" w:ascii="宋体" w:hAnsi="宋体" w:eastAsia="方正仿宋_GBK" w:cs="方正仿宋_GBK"/>
          <w:b w:val="0"/>
          <w:bCs w:val="0"/>
          <w:sz w:val="32"/>
          <w:szCs w:val="32"/>
          <w:lang w:eastAsia="zh-CN"/>
        </w:rPr>
        <w:t>，</w:t>
      </w:r>
      <w:r>
        <w:rPr>
          <w:rFonts w:hint="eastAsia" w:ascii="宋体" w:hAnsi="宋体" w:eastAsia="方正仿宋_GBK" w:cs="方正仿宋_GBK"/>
          <w:b w:val="0"/>
          <w:bCs w:val="0"/>
          <w:sz w:val="32"/>
          <w:szCs w:val="32"/>
          <w:lang w:val="en-US" w:eastAsia="zh-CN"/>
        </w:rPr>
        <w:t>提升产品质量，推动农业生产方式的“绿色革命”，切实推进打造“绿色食品牌”工作，带动全县高原特色农业跨越式发展。</w:t>
      </w:r>
    </w:p>
    <w:p>
      <w:pPr>
        <w:numPr>
          <w:ilvl w:val="0"/>
          <w:numId w:val="4"/>
        </w:numPr>
        <w:ind w:left="0" w:leftChars="0" w:firstLine="640" w:firstLineChars="200"/>
        <w:outlineLvl w:val="1"/>
        <w:rPr>
          <w:rFonts w:hint="eastAsia" w:ascii="宋体" w:hAnsi="宋体" w:eastAsia="方正楷体_GBK" w:cs="方正楷体_GBK"/>
          <w:b w:val="0"/>
          <w:bCs w:val="0"/>
          <w:sz w:val="32"/>
          <w:szCs w:val="32"/>
          <w:lang w:eastAsia="zh-CN"/>
        </w:rPr>
      </w:pPr>
      <w:bookmarkStart w:id="6" w:name="_Toc3393"/>
      <w:r>
        <w:rPr>
          <w:rFonts w:hint="eastAsia" w:ascii="宋体" w:hAnsi="宋体" w:eastAsia="方正楷体_GBK" w:cs="方正楷体_GBK"/>
          <w:b w:val="0"/>
          <w:bCs w:val="0"/>
          <w:sz w:val="32"/>
          <w:szCs w:val="32"/>
          <w:lang w:eastAsia="zh-CN"/>
        </w:rPr>
        <w:t>基本原则</w:t>
      </w:r>
      <w:bookmarkEnd w:id="6"/>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坚持特色引领。依托于独特的地域资源环境，发展高原特色农产品，主打“绿色食品牌”，强化地方特色形象宣传，提高品牌知名度和引导力，形成市场竞争优势。</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坚持营销带动。注重与营销企业合作，继续拓展批发集散、专营零售、订单农业，与旅游、餐饮结合等销售渠道，完善实体营销网点和配套物流体系，推进“互联网+农业”，强化互联网、物联网等信息技术在食品营销中的应用，形成线上线下互动的营销体系，不断提升我县食品宣传推广能力，扩大市场占有率。</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坚持协调发展。把协调作为发展绿色食品产业的内在要求。以绿色食品产业引导一二三产融合协调发展，以第一产业为基础，以品牌建设为重点，共同利益为发展前景，综合发展绿色食品产业，形成农业研发、生产、加工、储运、品牌、体验、消费、服务、金融等各环节和主体链接成紧密关联、有效衔接、耦合配套、协调发展的有机整体，提升高原特色农业综合价值。</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坚持绿色生态。全面推行绿色、生态和环境友好型生产技术，统筹推进种植、养殖、加工等环节的资源循环无害化利用，促进绿色食品标准化种植基地与加工（养殖）联动发展，强化产品及其生产过程的绿色形象，提升产业核心竞争力，提高产品价值链，实现生态经济、绿色经济和低碳经济。</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坚持质量安全。坚持以质量为本，建立覆盖生产、加工、销售、物流等全产业链食品质量管理和追溯制度，加强市场检测监管体系，切实保障绿色食品质量安全。</w:t>
      </w:r>
    </w:p>
    <w:p>
      <w:pPr>
        <w:numPr>
          <w:ilvl w:val="0"/>
          <w:numId w:val="4"/>
        </w:numPr>
        <w:ind w:left="0" w:leftChars="0" w:firstLine="640" w:firstLineChars="200"/>
        <w:outlineLvl w:val="1"/>
        <w:rPr>
          <w:rFonts w:hint="eastAsia" w:ascii="宋体" w:hAnsi="宋体" w:eastAsia="方正楷体_GBK" w:cs="方正楷体_GBK"/>
          <w:b w:val="0"/>
          <w:bCs w:val="0"/>
          <w:sz w:val="32"/>
          <w:szCs w:val="32"/>
          <w:lang w:eastAsia="zh-CN"/>
        </w:rPr>
      </w:pPr>
      <w:bookmarkStart w:id="7" w:name="_Toc22124"/>
      <w:r>
        <w:rPr>
          <w:rFonts w:hint="eastAsia" w:ascii="宋体" w:hAnsi="宋体" w:eastAsia="方正楷体_GBK" w:cs="方正楷体_GBK"/>
          <w:b w:val="0"/>
          <w:bCs w:val="0"/>
          <w:sz w:val="32"/>
          <w:szCs w:val="32"/>
          <w:lang w:eastAsia="zh-CN"/>
        </w:rPr>
        <w:t>规划目标</w:t>
      </w:r>
      <w:bookmarkEnd w:id="7"/>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“十四五”期间，绿色食品产业要加速发展，进一步壮大规模，延长产业链条，主体经营集群初步形成，农产品精深加工水平显著提升。</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color w:val="auto"/>
          <w:sz w:val="32"/>
          <w:szCs w:val="32"/>
          <w:highlight w:val="none"/>
          <w:lang w:val="en-US" w:eastAsia="zh-CN"/>
        </w:rPr>
        <w:t>围绕现代农业发展要求，充分发挥鹤庆县地理优势、气候优势、物种优势、生态优势等优越的自然禀赋和发展基础，在“特”和“优”做文章、下功夫，打响“丰富多样、生态环保、安全优质、四季飘香”四张名片，打造“肉、奶、果、菜、药、酒”农业鹤系品牌。</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产业规模逐步扩大。落实粮食安全战略，加大高标准农田建设力度，深入落实藏粮于地、藏粮于技战略，落实粮食安全生产党政同责责任制，稳定39.5万亩粮食播种面积和14.2万吨粮食产量，确保粮食安全</w:t>
      </w:r>
      <w:r>
        <w:rPr>
          <w:rFonts w:hint="eastAsia" w:ascii="宋体" w:hAnsi="宋体" w:eastAsia="方正仿宋_GBK" w:cs="方正仿宋_GBK"/>
          <w:b w:val="0"/>
          <w:bCs w:val="0"/>
          <w:sz w:val="32"/>
          <w:szCs w:val="32"/>
          <w:highlight w:val="none"/>
          <w:lang w:val="en-US" w:eastAsia="zh-CN"/>
        </w:rPr>
        <w:t>。围绕打造世界一流“绿色食品牌”，按照“两带四区”的农业产业布局，发展乳业和畜牧业、蚕桑、绿色蔬菜、优质水果、烤烟、中药材、藕鱼立体种养及休闲光农业等，加快奶牛等特色优势农产品基地建设，做大做强乳制品精深加工，全力创建省级“一县一业”乳业示范县，加快推进畜禽屠宰和流通平台建设，重点发展乳制品、速冷和冷鲜肉产品，传统腊味品，水果分拣包装、速冷蔬菜、蚕丝制品、中高端白酒等农产品精深加工。到2025年高原特色现代农业实现产值150亿元。</w:t>
      </w:r>
    </w:p>
    <w:p>
      <w:pPr>
        <w:ind w:left="0" w:leftChars="0" w:firstLine="640" w:firstLineChars="200"/>
        <w:rPr>
          <w:rFonts w:hint="eastAsia" w:ascii="宋体" w:hAnsi="宋体" w:eastAsia="方正仿宋_GBK" w:cs="方正仿宋_GBK"/>
          <w:b w:val="0"/>
          <w:bCs w:val="0"/>
          <w:sz w:val="32"/>
          <w:szCs w:val="32"/>
          <w:highlight w:val="red"/>
          <w:lang w:val="en-US" w:eastAsia="zh-CN"/>
        </w:rPr>
      </w:pPr>
      <w:r>
        <w:rPr>
          <w:rFonts w:hint="eastAsia" w:ascii="宋体" w:hAnsi="宋体" w:eastAsia="方正仿宋_GBK" w:cs="方正仿宋_GBK"/>
          <w:b w:val="0"/>
          <w:bCs w:val="0"/>
          <w:sz w:val="32"/>
          <w:szCs w:val="32"/>
          <w:lang w:val="en-US" w:eastAsia="zh-CN"/>
        </w:rPr>
        <w:t>产业集聚水平进一步提升。在重点地域发展一批技术含量高、产业链条长、品牌影响力的企业形成产业集群</w:t>
      </w:r>
      <w:r>
        <w:rPr>
          <w:rFonts w:hint="eastAsia" w:ascii="宋体" w:hAnsi="宋体" w:eastAsia="方正仿宋_GBK" w:cs="方正仿宋_GBK"/>
          <w:b w:val="0"/>
          <w:bCs w:val="0"/>
          <w:sz w:val="32"/>
          <w:szCs w:val="32"/>
          <w:highlight w:val="none"/>
          <w:lang w:val="en-US" w:eastAsia="zh-CN"/>
        </w:rPr>
        <w:t>。到2025年，全县国家级农业龙头企业1家、省级农业龙头企业5家、州级农业龙头企业15家，带动农户3万户。农民专业合作社300个，其中省级示范社10个、州级示范社30个、县级示范社50个，带动农户5万户。现代农业庄园40个，其中省级2个、州级5个。家庭农场200户，其中省级2户、州级示范家庭农场20户、县级示范家庭农场100户。</w:t>
      </w:r>
    </w:p>
    <w:p>
      <w:pPr>
        <w:ind w:left="0" w:leftChars="0" w:firstLine="640" w:firstLineChars="200"/>
        <w:rPr>
          <w:rFonts w:hint="eastAsia" w:ascii="宋体" w:hAnsi="宋体" w:eastAsia="方正仿宋_GBK" w:cs="方正仿宋_GBK"/>
          <w:b w:val="0"/>
          <w:bCs w:val="0"/>
          <w:color w:val="auto"/>
          <w:sz w:val="32"/>
          <w:szCs w:val="32"/>
          <w:highlight w:val="none"/>
          <w:lang w:val="en-US" w:eastAsia="zh-CN"/>
        </w:rPr>
      </w:pPr>
      <w:r>
        <w:rPr>
          <w:rFonts w:hint="eastAsia" w:ascii="宋体" w:hAnsi="宋体" w:eastAsia="方正仿宋_GBK" w:cs="方正仿宋_GBK"/>
          <w:b w:val="0"/>
          <w:bCs w:val="0"/>
          <w:sz w:val="32"/>
          <w:szCs w:val="32"/>
          <w:lang w:val="en-US" w:eastAsia="zh-CN"/>
        </w:rPr>
        <w:t>食品质量安全得到保障。规模以上企业建立健全质量管理体系、质量安全与溯源体系</w:t>
      </w:r>
      <w:r>
        <w:rPr>
          <w:rFonts w:hint="eastAsia" w:ascii="宋体" w:hAnsi="宋体" w:eastAsia="方正仿宋_GBK" w:cs="方正仿宋_GBK"/>
          <w:b w:val="0"/>
          <w:bCs w:val="0"/>
          <w:color w:val="auto"/>
          <w:sz w:val="32"/>
          <w:szCs w:val="32"/>
          <w:highlight w:val="none"/>
          <w:lang w:val="en-US" w:eastAsia="zh-CN"/>
        </w:rPr>
        <w:t>。力争到2025年，县级绿色食品知名区域公共品牌达3个以上，知名企业品牌达10个以上。通过无公害农产品、绿色食品、有机产品认证的企业达10个以上，认证产品数达30个以上；力争通过国家农产品地理标志登记1个以上（鹤庆圆腿）。</w:t>
      </w:r>
    </w:p>
    <w:p>
      <w:pPr>
        <w:ind w:left="0" w:leftChars="0" w:firstLine="0" w:firstLineChars="0"/>
        <w:jc w:val="center"/>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绿色食品产业“十四五”主要指标</w:t>
      </w:r>
    </w:p>
    <w:tbl>
      <w:tblPr>
        <w:tblStyle w:val="8"/>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4526"/>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种类</w:t>
            </w:r>
          </w:p>
        </w:tc>
        <w:tc>
          <w:tcPr>
            <w:tcW w:w="3126"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指标</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restart"/>
            <w:vAlign w:val="center"/>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粮食</w:t>
            </w: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播种面积（万亩）</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单产（公斤）</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总产（万吨）</w:t>
            </w:r>
          </w:p>
        </w:tc>
        <w:tc>
          <w:tcPr>
            <w:tcW w:w="1704" w:type="dxa"/>
          </w:tcPr>
          <w:p>
            <w:pPr>
              <w:jc w:val="center"/>
              <w:rPr>
                <w:rFonts w:hint="default"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restart"/>
            <w:vAlign w:val="center"/>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乳畜业</w:t>
            </w:r>
          </w:p>
        </w:tc>
        <w:tc>
          <w:tcPr>
            <w:tcW w:w="3126" w:type="dxa"/>
            <w:vAlign w:val="top"/>
          </w:tcPr>
          <w:p>
            <w:pPr>
              <w:pStyle w:val="20"/>
              <w:spacing w:before="0" w:beforeLines="0" w:after="0" w:afterLines="0" w:line="560" w:lineRule="exact"/>
              <w:rPr>
                <w:rFonts w:hint="eastAsia" w:ascii="宋体" w:hAnsi="宋体" w:eastAsia="仿宋" w:cs="仿宋"/>
                <w:kern w:val="2"/>
                <w:sz w:val="28"/>
                <w:szCs w:val="28"/>
                <w:lang w:val="en-US" w:eastAsia="zh-CN" w:bidi="ar-SA"/>
              </w:rPr>
            </w:pPr>
            <w:r>
              <w:rPr>
                <w:rFonts w:hint="eastAsia" w:ascii="宋体" w:hAnsi="宋体" w:eastAsia="仿宋" w:cs="仿宋"/>
                <w:kern w:val="2"/>
                <w:sz w:val="30"/>
                <w:szCs w:val="30"/>
                <w:vertAlign w:val="baseline"/>
                <w:lang w:val="en-US" w:eastAsia="zh-CN" w:bidi="ar-SA"/>
              </w:rPr>
              <w:t>生猪出栏（万头）</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牛羊出栏（万头）</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家禽出栏（万羽）</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奶牛存栏（万头）</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肉类总产量（万吨）</w:t>
            </w:r>
          </w:p>
        </w:tc>
        <w:tc>
          <w:tcPr>
            <w:tcW w:w="1704" w:type="dxa"/>
          </w:tcPr>
          <w:p>
            <w:pPr>
              <w:jc w:val="center"/>
              <w:rPr>
                <w:rFonts w:hint="default"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奶类总产量（万吨）</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restart"/>
            <w:vAlign w:val="center"/>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蔬菜</w:t>
            </w: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蔬菜面积（万亩）</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蔬菜产量（万吨）</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restart"/>
            <w:vAlign w:val="center"/>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水果</w:t>
            </w:r>
          </w:p>
        </w:tc>
        <w:tc>
          <w:tcPr>
            <w:tcW w:w="3126"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水果面积（万亩）</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tcPr>
          <w:p>
            <w:pPr>
              <w:jc w:val="center"/>
              <w:rPr>
                <w:rFonts w:hint="eastAsia" w:ascii="宋体" w:hAnsi="宋体" w:eastAsia="仿宋" w:cs="仿宋"/>
                <w:sz w:val="30"/>
                <w:szCs w:val="30"/>
                <w:vertAlign w:val="baseline"/>
                <w:lang w:val="en-US" w:eastAsia="zh-CN"/>
              </w:rPr>
            </w:pPr>
          </w:p>
        </w:tc>
        <w:tc>
          <w:tcPr>
            <w:tcW w:w="3126"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水果产量（万吨）</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restart"/>
            <w:vAlign w:val="center"/>
          </w:tcPr>
          <w:p>
            <w:pPr>
              <w:jc w:val="center"/>
              <w:rPr>
                <w:rFonts w:hint="eastAsia" w:ascii="宋体" w:hAnsi="宋体" w:eastAsia="仿宋" w:cs="仿宋"/>
                <w:kern w:val="2"/>
                <w:sz w:val="30"/>
                <w:szCs w:val="30"/>
                <w:vertAlign w:val="baseline"/>
                <w:lang w:val="en-US" w:eastAsia="zh-CN" w:bidi="ar-SA"/>
              </w:rPr>
            </w:pPr>
            <w:r>
              <w:rPr>
                <w:rFonts w:hint="eastAsia" w:ascii="宋体" w:hAnsi="宋体" w:eastAsia="仿宋" w:cs="仿宋"/>
                <w:sz w:val="30"/>
                <w:szCs w:val="30"/>
                <w:vertAlign w:val="baseline"/>
                <w:lang w:val="en-US" w:eastAsia="zh-CN"/>
              </w:rPr>
              <w:t>药材</w:t>
            </w: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中药材面积（万亩）</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vAlign w:val="top"/>
          </w:tcPr>
          <w:p>
            <w:pPr>
              <w:jc w:val="center"/>
              <w:rPr>
                <w:rFonts w:hint="eastAsia" w:ascii="宋体" w:hAnsi="宋体" w:eastAsia="仿宋" w:cs="仿宋"/>
                <w:kern w:val="2"/>
                <w:sz w:val="30"/>
                <w:szCs w:val="30"/>
                <w:vertAlign w:val="baseline"/>
                <w:lang w:val="en-US" w:eastAsia="zh-CN" w:bidi="ar-SA"/>
              </w:rPr>
            </w:pPr>
          </w:p>
        </w:tc>
        <w:tc>
          <w:tcPr>
            <w:tcW w:w="3126" w:type="dxa"/>
            <w:vAlign w:val="top"/>
          </w:tcPr>
          <w:p>
            <w:pPr>
              <w:jc w:val="center"/>
              <w:rPr>
                <w:rFonts w:hint="eastAsia" w:ascii="宋体" w:hAnsi="宋体" w:eastAsia="仿宋" w:cs="仿宋"/>
                <w:kern w:val="2"/>
                <w:sz w:val="30"/>
                <w:szCs w:val="30"/>
                <w:vertAlign w:val="baseline"/>
                <w:lang w:val="en-US" w:eastAsia="zh-CN" w:bidi="ar-SA"/>
              </w:rPr>
            </w:pPr>
            <w:r>
              <w:rPr>
                <w:rFonts w:hint="eastAsia" w:ascii="宋体" w:hAnsi="宋体" w:eastAsia="仿宋" w:cs="仿宋"/>
                <w:sz w:val="30"/>
                <w:szCs w:val="30"/>
                <w:vertAlign w:val="baseline"/>
                <w:lang w:val="en-US" w:eastAsia="zh-CN"/>
              </w:rPr>
              <w:t>中草药材产量（吨）</w:t>
            </w:r>
          </w:p>
        </w:tc>
        <w:tc>
          <w:tcPr>
            <w:tcW w:w="1704" w:type="dxa"/>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restart"/>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藕（稻）鱼</w:t>
            </w: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养殖（万亩）</w:t>
            </w:r>
          </w:p>
        </w:tc>
        <w:tc>
          <w:tcPr>
            <w:tcW w:w="1704" w:type="dxa"/>
            <w:vMerge w:val="restart"/>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适度</w:t>
            </w:r>
          </w:p>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Merge w:val="continue"/>
            <w:vAlign w:val="top"/>
          </w:tcPr>
          <w:p>
            <w:pPr>
              <w:jc w:val="center"/>
              <w:rPr>
                <w:rFonts w:hint="eastAsia" w:ascii="宋体" w:hAnsi="宋体" w:eastAsia="仿宋" w:cs="仿宋"/>
                <w:sz w:val="30"/>
                <w:szCs w:val="30"/>
                <w:vertAlign w:val="baseline"/>
                <w:lang w:val="en-US" w:eastAsia="zh-CN"/>
              </w:rPr>
            </w:pP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水产品产量（万吨）</w:t>
            </w:r>
          </w:p>
        </w:tc>
        <w:tc>
          <w:tcPr>
            <w:tcW w:w="1704" w:type="dxa"/>
            <w:vMerge w:val="continue"/>
          </w:tcPr>
          <w:p>
            <w:pPr>
              <w:jc w:val="center"/>
              <w:rPr>
                <w:rFonts w:hint="eastAsia" w:ascii="宋体" w:hAnsi="宋体"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鹤庆乾酒</w:t>
            </w:r>
          </w:p>
        </w:tc>
        <w:tc>
          <w:tcPr>
            <w:tcW w:w="3126" w:type="dxa"/>
            <w:vAlign w:val="top"/>
          </w:tcPr>
          <w:p>
            <w:pPr>
              <w:jc w:val="center"/>
              <w:rPr>
                <w:rFonts w:hint="eastAsia"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产量（吨）</w:t>
            </w:r>
          </w:p>
        </w:tc>
        <w:tc>
          <w:tcPr>
            <w:tcW w:w="1704" w:type="dxa"/>
          </w:tcPr>
          <w:p>
            <w:pPr>
              <w:jc w:val="center"/>
              <w:rPr>
                <w:rFonts w:hint="default" w:ascii="宋体" w:hAnsi="宋体" w:eastAsia="仿宋" w:cs="仿宋"/>
                <w:sz w:val="30"/>
                <w:szCs w:val="30"/>
                <w:vertAlign w:val="baseline"/>
                <w:lang w:val="en-US" w:eastAsia="zh-CN"/>
              </w:rPr>
            </w:pPr>
            <w:r>
              <w:rPr>
                <w:rFonts w:hint="eastAsia" w:ascii="宋体" w:hAnsi="宋体" w:eastAsia="仿宋" w:cs="仿宋"/>
                <w:sz w:val="30"/>
                <w:szCs w:val="30"/>
                <w:vertAlign w:val="baseline"/>
                <w:lang w:val="en-US" w:eastAsia="zh-CN"/>
              </w:rPr>
              <w:t>8000</w:t>
            </w:r>
          </w:p>
        </w:tc>
      </w:tr>
    </w:tbl>
    <w:p>
      <w:pPr>
        <w:ind w:left="0" w:leftChars="0" w:firstLine="0" w:firstLineChars="0"/>
        <w:jc w:val="center"/>
        <w:rPr>
          <w:rFonts w:hint="eastAsia" w:ascii="宋体" w:hAnsi="宋体" w:eastAsia="方正楷体_GBK" w:cs="方正楷体_GBK"/>
          <w:b w:val="0"/>
          <w:bCs w:val="0"/>
          <w:sz w:val="32"/>
          <w:szCs w:val="32"/>
          <w:lang w:val="en-US" w:eastAsia="zh-CN"/>
        </w:rPr>
      </w:pPr>
    </w:p>
    <w:p>
      <w:pPr>
        <w:numPr>
          <w:ilvl w:val="0"/>
          <w:numId w:val="4"/>
        </w:numPr>
        <w:ind w:left="0" w:leftChars="0" w:firstLine="640" w:firstLineChars="200"/>
        <w:outlineLvl w:val="1"/>
        <w:rPr>
          <w:rFonts w:hint="eastAsia" w:ascii="宋体" w:hAnsi="宋体" w:eastAsia="方正楷体_GBK" w:cs="方正楷体_GBK"/>
          <w:b w:val="0"/>
          <w:bCs w:val="0"/>
          <w:sz w:val="32"/>
          <w:szCs w:val="32"/>
          <w:lang w:eastAsia="zh-CN"/>
        </w:rPr>
      </w:pPr>
      <w:bookmarkStart w:id="8" w:name="_Toc36"/>
      <w:r>
        <w:rPr>
          <w:rFonts w:hint="eastAsia" w:ascii="宋体" w:hAnsi="宋体" w:eastAsia="方正楷体_GBK" w:cs="方正楷体_GBK"/>
          <w:b w:val="0"/>
          <w:bCs w:val="0"/>
          <w:sz w:val="32"/>
          <w:szCs w:val="32"/>
          <w:lang w:eastAsia="zh-CN"/>
        </w:rPr>
        <w:t>产业布局</w:t>
      </w:r>
      <w:bookmarkEnd w:id="8"/>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综合考虑自然地理、资源禀赋、产业基础和发展方向，“十四五”期间规划构建“两带四区”的现代农业发展空间格局。</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1、漾弓江两岸绿色缓冲休闲带</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将重点流域治理与农业发展有机结合，将辛屯镇、草海镇、金墩乡等漾弓江两岸区域列为限制发展区，充分发挥漾弓江沿线种植蚕桑的传统，形成重点流域保护的天然缓冲带和秀丽的自然景观，同时积极探索桑果、采摘等休闲农旅项目，打造漾弓江流域绿色观光休闲带。</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2、金沙江流域干热河谷经济带</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充分发挥金沙江沿线气候资源好、水资源丰富、水果品质佳的优势，打造金沙江流域高品质热带水果发展经济带，确保金沙江重点流域保护的前提下，在黄坪镇、龙开口镇重点发展早熟、特早熟的葡萄、晚熟柑橘及芒果、石榴等优质水果，结合绿色食品牌打造，加大招商引资力度，培育壮大优质水果经营主体，在“三品一标”认证上下功夫，提高知名度和影响力。</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黄坪镇和龙开口镇农业特色鲜明：玉米、水果、中药、蔬菜，都属于该经济带。</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3、草海湿地生态区</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突出草海湿地生态保护的核心地位，结合面源污染治理工作的推进，草海湿地自然保护区界桩外沿300米陆域范围已划定为禁养区，引导农户在草海、辛屯镇草海湿地周边的农田中发展藕（稻）鱼立体种养、水生蔬菜和传统稻谷种植等生态种养殖模式，在草海湿地周边打造一道生态产业屏障，实现产业效能、生态效能、观光休闲效能的有机统一。</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4、平坝现代农业区</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充分利用县内龙潭密集、水资源丰富的优势，在辛屯镇、草海镇、云鹤镇、金墩乡4个地势较为平坦的坝区乡镇以及黄坪镇、西邑镇、松桂镇平坝区发展以蚕桑、生猪、蔬菜、藕（稻）鱼立体种养等产业，着力建设12万亩平坝现代农业区，大力发展现代农业和休闲农业。</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5、山地牧业发展区</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依托松桂镇、西邑镇、六合乡等山地资源，发展以奶牛、牛羊、生猪、雨水蔬菜为主的产业，大力推广适度规模养殖和标准化养殖，着力建设山地牧业发展区，探索符合实际的生态循环农业模式。</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6、高山特色发展区</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充分发挥县域西部草海镇马厂、新峰、安乐、倒流箐、里习吉等高寒山区村海拔高、气候冷凉、土地肥沃且宽阔和病虫害少的优势，依托马厂当归的知名度，重点发展以当归、附子、重楼等中药材，兼顾发展马铃薯、高寒山区蔬菜种植和林下生态养殖，着力建设5万亩高山特色发展区。</w:t>
      </w:r>
    </w:p>
    <w:p>
      <w:pPr>
        <w:numPr>
          <w:ilvl w:val="0"/>
          <w:numId w:val="1"/>
        </w:numPr>
        <w:ind w:left="0" w:leftChars="0" w:firstLine="640" w:firstLineChars="200"/>
        <w:outlineLvl w:val="0"/>
        <w:rPr>
          <w:rFonts w:hint="eastAsia" w:ascii="宋体" w:hAnsi="宋体" w:eastAsia="方正黑体_GBK" w:cs="方正黑体_GBK"/>
          <w:b w:val="0"/>
          <w:bCs w:val="0"/>
          <w:sz w:val="32"/>
          <w:szCs w:val="32"/>
          <w:lang w:eastAsia="zh-CN"/>
        </w:rPr>
      </w:pPr>
      <w:bookmarkStart w:id="9" w:name="_Toc8641"/>
      <w:r>
        <w:rPr>
          <w:rFonts w:hint="eastAsia" w:ascii="宋体" w:hAnsi="宋体" w:eastAsia="方正黑体_GBK" w:cs="方正黑体_GBK"/>
          <w:b w:val="0"/>
          <w:bCs w:val="0"/>
          <w:sz w:val="32"/>
          <w:szCs w:val="32"/>
          <w:lang w:eastAsia="zh-CN"/>
        </w:rPr>
        <w:t>重点任务</w:t>
      </w:r>
      <w:bookmarkEnd w:id="9"/>
    </w:p>
    <w:p>
      <w:pPr>
        <w:numPr>
          <w:ilvl w:val="0"/>
          <w:numId w:val="5"/>
        </w:numPr>
        <w:ind w:left="0" w:leftChars="0" w:firstLine="640" w:firstLineChars="0"/>
        <w:outlineLvl w:val="1"/>
        <w:rPr>
          <w:rFonts w:hint="eastAsia" w:ascii="宋体" w:hAnsi="宋体" w:eastAsia="方正楷体_GBK" w:cs="方正楷体_GBK"/>
          <w:b w:val="0"/>
          <w:bCs w:val="0"/>
          <w:sz w:val="32"/>
          <w:szCs w:val="32"/>
          <w:lang w:eastAsia="zh-CN"/>
        </w:rPr>
      </w:pPr>
      <w:bookmarkStart w:id="10" w:name="_Toc5451"/>
      <w:r>
        <w:rPr>
          <w:rFonts w:hint="eastAsia" w:ascii="宋体" w:hAnsi="宋体" w:eastAsia="方正楷体_GBK" w:cs="方正楷体_GBK"/>
          <w:b w:val="0"/>
          <w:bCs w:val="0"/>
          <w:sz w:val="32"/>
          <w:szCs w:val="32"/>
          <w:lang w:eastAsia="zh-CN"/>
        </w:rPr>
        <w:t>着力培育绿色食品品牌</w:t>
      </w:r>
      <w:bookmarkEnd w:id="10"/>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着力培育以下绿色食品牌：</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国家级：鹤庆（欧亚）牛奶、鹤庆（马厂）当归。</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省、州级：鹤庆猪肉、鹤庆乾酒、鹤庆牛羊肉、鹤庆水果、鹤庆蔬菜。</w:t>
      </w:r>
    </w:p>
    <w:p>
      <w:pPr>
        <w:numPr>
          <w:ilvl w:val="0"/>
          <w:numId w:val="6"/>
        </w:num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鹤庆（欧亚）牛奶</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随着奶牛养殖的快速发展，鹤庆将成为云南最大的奶源基地县。加快推进乳制品深加工项目建设势在必行。</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到2025年，全县奶牛存栏3万头，鲜奶产量达18万吨，乳制品加工销售产值达14亿元以上。</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sz w:val="32"/>
          <w:szCs w:val="32"/>
          <w:lang w:val="en-US" w:eastAsia="zh-CN"/>
        </w:rPr>
        <w:t>力争“十四五”时期实现日处理500吨乳及乳制品深加工厂建设目标，全力推进“一县一业”乳产业一体化发展，促进一二三产业融合发展。</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2、</w:t>
      </w:r>
      <w:r>
        <w:rPr>
          <w:rFonts w:hint="eastAsia" w:ascii="宋体" w:hAnsi="宋体" w:eastAsia="方正仿宋_GBK" w:cs="方正仿宋_GBK"/>
          <w:b w:val="0"/>
          <w:bCs w:val="0"/>
          <w:sz w:val="32"/>
          <w:szCs w:val="32"/>
          <w:lang w:eastAsia="zh-CN"/>
        </w:rPr>
        <w:t>鹤庆（马厂）当归</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鹤庆</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val="0"/>
          <w:bCs w:val="0"/>
          <w:sz w:val="32"/>
          <w:szCs w:val="32"/>
          <w:lang w:eastAsia="zh-CN"/>
        </w:rPr>
        <w:t>马厂</w:t>
      </w:r>
      <w:r>
        <w:rPr>
          <w:rFonts w:hint="eastAsia" w:ascii="宋体" w:hAnsi="宋体" w:eastAsia="方正仿宋_GBK" w:cs="方正仿宋_GBK"/>
          <w:b w:val="0"/>
          <w:bCs w:val="0"/>
          <w:sz w:val="32"/>
          <w:szCs w:val="32"/>
          <w:lang w:val="en-US" w:eastAsia="zh-CN"/>
        </w:rPr>
        <w:t>)</w:t>
      </w:r>
      <w:r>
        <w:rPr>
          <w:rFonts w:hint="eastAsia" w:ascii="宋体" w:hAnsi="宋体" w:eastAsia="方正仿宋_GBK" w:cs="方正仿宋_GBK"/>
          <w:b w:val="0"/>
          <w:bCs w:val="0"/>
          <w:sz w:val="32"/>
          <w:szCs w:val="32"/>
          <w:lang w:eastAsia="zh-CN"/>
        </w:rPr>
        <w:t>当归，又称秦归或云归，因产地在鹤庆马厂村而得名，是著名的传统中药材之一。清朝光绪二十七年（1901年）马厂归自甘肃秦岭引到鹤庆县马厂一带种植，已有近百年的历史。充分发挥县域西部草海镇马厂、新峰、安乐、倒流箐、里习吉等高寒山区村海拔高、气候冷凉、土地肥沃且宽阔和病虫害少的优势，依托马厂当归的知名度，重点发展以当归、附子、重楼等中药材。</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到2025年，建设</w:t>
      </w:r>
      <w:r>
        <w:rPr>
          <w:rFonts w:hint="eastAsia" w:ascii="宋体" w:hAnsi="宋体" w:eastAsia="方正仿宋_GBK" w:cs="方正仿宋_GBK"/>
          <w:b w:val="0"/>
          <w:bCs w:val="0"/>
          <w:sz w:val="32"/>
          <w:szCs w:val="32"/>
          <w:lang w:val="en-US" w:eastAsia="zh-CN"/>
        </w:rPr>
        <w:t>2</w:t>
      </w:r>
      <w:r>
        <w:rPr>
          <w:rFonts w:hint="eastAsia" w:ascii="宋体" w:hAnsi="宋体" w:eastAsia="方正仿宋_GBK" w:cs="方正仿宋_GBK"/>
          <w:b w:val="0"/>
          <w:bCs w:val="0"/>
          <w:sz w:val="32"/>
          <w:szCs w:val="32"/>
          <w:lang w:eastAsia="zh-CN"/>
        </w:rPr>
        <w:t>万亩</w:t>
      </w:r>
      <w:r>
        <w:rPr>
          <w:rFonts w:hint="eastAsia" w:ascii="宋体" w:hAnsi="宋体" w:eastAsia="方正仿宋_GBK" w:cs="方正仿宋_GBK"/>
          <w:b w:val="0"/>
          <w:bCs w:val="0"/>
          <w:sz w:val="32"/>
          <w:szCs w:val="32"/>
          <w:lang w:val="en-US" w:eastAsia="zh-CN"/>
        </w:rPr>
        <w:t>高寒山区</w:t>
      </w:r>
      <w:r>
        <w:rPr>
          <w:rFonts w:hint="eastAsia" w:ascii="宋体" w:hAnsi="宋体" w:eastAsia="方正仿宋_GBK" w:cs="方正仿宋_GBK"/>
          <w:b w:val="0"/>
          <w:bCs w:val="0"/>
          <w:sz w:val="32"/>
          <w:szCs w:val="32"/>
          <w:lang w:eastAsia="zh-CN"/>
        </w:rPr>
        <w:t>药材种植区，产值达到</w:t>
      </w:r>
      <w:r>
        <w:rPr>
          <w:rFonts w:hint="eastAsia" w:ascii="宋体" w:hAnsi="宋体" w:eastAsia="方正仿宋_GBK" w:cs="方正仿宋_GBK"/>
          <w:b w:val="0"/>
          <w:bCs w:val="0"/>
          <w:sz w:val="32"/>
          <w:szCs w:val="32"/>
          <w:lang w:val="en-US" w:eastAsia="zh-CN"/>
        </w:rPr>
        <w:t>2</w:t>
      </w:r>
      <w:r>
        <w:rPr>
          <w:rFonts w:hint="eastAsia" w:ascii="宋体" w:hAnsi="宋体" w:eastAsia="方正仿宋_GBK" w:cs="方正仿宋_GBK"/>
          <w:b w:val="0"/>
          <w:bCs w:val="0"/>
          <w:sz w:val="32"/>
          <w:szCs w:val="32"/>
          <w:lang w:eastAsia="zh-CN"/>
        </w:rPr>
        <w:t>亿。</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val="en-US" w:eastAsia="zh-CN"/>
        </w:rPr>
        <w:t>3、鹤庆</w:t>
      </w:r>
      <w:r>
        <w:rPr>
          <w:rFonts w:hint="eastAsia" w:ascii="宋体" w:hAnsi="宋体" w:eastAsia="方正仿宋_GBK" w:cs="方正仿宋_GBK"/>
          <w:b w:val="0"/>
          <w:bCs w:val="0"/>
          <w:sz w:val="32"/>
          <w:szCs w:val="32"/>
          <w:lang w:eastAsia="zh-CN"/>
        </w:rPr>
        <w:t>猪肉</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到2025年，全县生猪全年出栏量达到100万头。生猪养殖主要向鹤庆坝区集中。</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同时配套规模化养殖基地、屠宰厂、肉制品加工厂。</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鹤庆火腿是云南名特食品，因其腿部弯曲，外形圆整，故又名圆腿或盘腿。着重打造“鹤庆圆腿”品牌。</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val="en-US" w:eastAsia="zh-CN"/>
        </w:rPr>
        <w:t>4、</w:t>
      </w:r>
      <w:r>
        <w:rPr>
          <w:rFonts w:hint="eastAsia" w:ascii="宋体" w:hAnsi="宋体" w:eastAsia="方正仿宋_GBK" w:cs="方正仿宋_GBK"/>
          <w:b w:val="0"/>
          <w:bCs w:val="0"/>
          <w:sz w:val="32"/>
          <w:szCs w:val="32"/>
          <w:lang w:eastAsia="zh-CN"/>
        </w:rPr>
        <w:t>鹤庆牛羊肉</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到2025年，全县生肉牛、肉羊全年出栏量分别达到4万头、20万只。</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肉牛、肉羊养殖重点在松桂、西邑、六合、黄坪、龙开口发展。</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t>同时配套规模化养殖基地、屠宰厂、肉制品加工厂。</w:t>
      </w:r>
    </w:p>
    <w:p>
      <w:pPr>
        <w:ind w:left="0" w:leftChars="0" w:firstLine="640" w:firstLineChars="200"/>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val="en-US" w:eastAsia="zh-CN"/>
        </w:rPr>
        <w:t>5、鹤庆</w:t>
      </w:r>
      <w:r>
        <w:rPr>
          <w:rFonts w:hint="eastAsia" w:ascii="宋体" w:hAnsi="宋体" w:eastAsia="方正仿宋_GBK" w:cs="方正仿宋_GBK"/>
          <w:b w:val="0"/>
          <w:bCs w:val="0"/>
          <w:sz w:val="32"/>
          <w:szCs w:val="32"/>
          <w:lang w:eastAsia="zh-CN"/>
        </w:rPr>
        <w:t>水果</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到2025年，全县水果种植面积达到10万亩，产量20万吨，产值10亿元，其中金沙江河谷区优质水果种植面积8万亩，发展葡萄、柑橘、芒果、石榴、枇杷等热带水果，绿色果园认证面积达到1万亩。</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在黄坪镇、龙开口镇建设成为国内优质生态果品基地。推进标准果园建设、绿色果园认证。</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延长产业链，引入龙头企业：导入集水果营销、储运、加工、包装龙头企业和互联网电商营销平台，以联产联销和订单农业方式促进水果产业发展。</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加强水果仓储保鲜、冷链物流及市场设施建设。建设集包装、果品交易、信息服务及物流配送服务于一体的鹤庆县果品物流交易中心，扩大交易规模，提高交易效率。</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水果产业园区:在龙开口镇、黄坪镇建设水果产业园区。</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6、鹤庆蔬菜</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到2025年，蔬菜种植面积8万亩，产量8万吨，产值4亿元。</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着重在龙开口镇、黄坪镇地热河谷区发展冬春蔬菜基地，主要生产葱蒜、辣椒、茄子等；在西邑镇、六合乡、松桂镇半山区发展夏秋蔬菜基地，主要生产大白菜、花椰菜、莴笋、芹菜、芥菜、萝卜、辣椒、番茄以及茄果类、豆类、瓜类等喜温蔬菜；在草海镇高寒山区发展高寒蔬菜基地，主要生产药食两用蔬菜；在坝区发展坝区蔬菜基地，主要生产深水莲藕、海菜、胡萝卜、大白菜等晚秋蔬菜。</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积极推进设施农业蔬菜种植，优化现有温室结构，研制出具有较好保温性和抗灾能力的标准化温室。选择优势明显、有发展潜力的主导品种，统一规划，连片建设，规模经营。</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延长产业链，引入龙头企业：导入集蔬菜营销、储运、加工、包装龙头企业和互联网电商营销平台，以联产联销和订单农业方式促进蔬菜产业发展。</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加强物流、市场建设。建设集包装、交易、信息服务及物流配送服务于一体的鹤庆县蔬菜物流交易中心，扩大交易规模，提高交易效率。</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7、鹤庆乾酒</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到2025年，鹤庆乾酒产量8000吨，产值3.5亿元。</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鹤庆乾酒，云南省鹤庆县云鹤镇特产，始创于明正统年间（1436年—1449年），有着厚重的加工历史和酿酒文化底蕴，是滇西茶马古道和汉、白、纳西、藏等多民族历史文化交融的实物代表。</w:t>
      </w: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加强产品营销推广，尤其是互联网推广，加大产品知名度。</w:t>
      </w:r>
    </w:p>
    <w:p>
      <w:pPr>
        <w:numPr>
          <w:ilvl w:val="0"/>
          <w:numId w:val="5"/>
        </w:numPr>
        <w:ind w:left="0" w:leftChars="0" w:firstLine="640" w:firstLineChars="0"/>
        <w:outlineLvl w:val="1"/>
        <w:rPr>
          <w:rFonts w:hint="eastAsia" w:ascii="宋体" w:hAnsi="宋体" w:eastAsia="方正楷体_GBK" w:cs="方正楷体_GBK"/>
          <w:b w:val="0"/>
          <w:bCs w:val="0"/>
          <w:sz w:val="32"/>
          <w:szCs w:val="32"/>
          <w:lang w:eastAsia="zh-CN"/>
        </w:rPr>
      </w:pPr>
      <w:bookmarkStart w:id="11" w:name="_Toc21375"/>
      <w:r>
        <w:rPr>
          <w:rFonts w:hint="eastAsia" w:ascii="宋体" w:hAnsi="宋体" w:eastAsia="方正楷体_GBK" w:cs="方正楷体_GBK"/>
          <w:b w:val="0"/>
          <w:bCs w:val="0"/>
          <w:sz w:val="32"/>
          <w:szCs w:val="32"/>
          <w:lang w:eastAsia="zh-CN"/>
        </w:rPr>
        <w:t>培育绿色食品经营主体</w:t>
      </w:r>
      <w:bookmarkEnd w:id="11"/>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eastAsia="zh-CN"/>
        </w:rPr>
        <w:t>把培育绿色食品经营主体与乡村振兴、产业兴旺、脱贫攻坚和新型农业经营主体培育工作紧紧融合在一起，把有限的资金用在最有示范引领作用的环节上，到2025年，每个乡镇至少打造一个“一村一品”品牌。</w:t>
      </w:r>
      <w:r>
        <w:rPr>
          <w:rFonts w:hint="eastAsia" w:ascii="宋体" w:hAnsi="宋体" w:eastAsia="方正仿宋_GBK" w:cs="方正仿宋_GBK"/>
          <w:b w:val="0"/>
          <w:bCs w:val="0"/>
          <w:sz w:val="32"/>
          <w:szCs w:val="32"/>
          <w:highlight w:val="none"/>
          <w:lang w:val="en-US" w:eastAsia="zh-CN"/>
        </w:rPr>
        <w:t>加大</w:t>
      </w:r>
      <w:r>
        <w:rPr>
          <w:rFonts w:hint="eastAsia" w:ascii="宋体" w:hAnsi="宋体" w:eastAsia="方正仿宋_GBK" w:cs="方正仿宋_GBK"/>
          <w:b w:val="0"/>
          <w:bCs w:val="0"/>
          <w:sz w:val="32"/>
          <w:szCs w:val="32"/>
          <w:lang w:val="en-US" w:eastAsia="zh-CN"/>
        </w:rPr>
        <w:t>招商引资力度，鼓励龙头企业通过资本整合，资本重组，实施重大产业发展项目做大做强。</w:t>
      </w:r>
    </w:p>
    <w:p>
      <w:pPr>
        <w:ind w:left="0" w:leftChars="0" w:firstLine="640" w:firstLineChars="200"/>
        <w:rPr>
          <w:rFonts w:hint="eastAsia" w:ascii="宋体" w:hAnsi="宋体" w:eastAsia="仿宋" w:cs="仿宋"/>
          <w:b w:val="0"/>
          <w:bCs w:val="0"/>
          <w:sz w:val="32"/>
          <w:szCs w:val="32"/>
          <w:lang w:val="en-US" w:eastAsia="zh-CN"/>
        </w:rPr>
      </w:pPr>
    </w:p>
    <w:p>
      <w:pPr>
        <w:ind w:left="0" w:leftChars="0" w:firstLine="640" w:firstLineChars="200"/>
        <w:rPr>
          <w:rFonts w:hint="eastAsia" w:ascii="宋体" w:hAnsi="宋体" w:eastAsia="仿宋" w:cs="仿宋"/>
          <w:b w:val="0"/>
          <w:bCs w:val="0"/>
          <w:sz w:val="32"/>
          <w:szCs w:val="32"/>
          <w:lang w:val="en-US" w:eastAsia="zh-CN"/>
        </w:rPr>
      </w:pPr>
    </w:p>
    <w:p>
      <w:pPr>
        <w:ind w:left="0" w:leftChars="0" w:firstLine="640" w:firstLineChars="200"/>
        <w:rPr>
          <w:rFonts w:hint="eastAsia" w:ascii="宋体" w:hAnsi="宋体" w:eastAsia="仿宋" w:cs="仿宋"/>
          <w:b w:val="0"/>
          <w:bCs w:val="0"/>
          <w:sz w:val="32"/>
          <w:szCs w:val="32"/>
          <w:lang w:val="en-US" w:eastAsia="zh-CN"/>
        </w:rPr>
      </w:pPr>
    </w:p>
    <w:p>
      <w:pPr>
        <w:ind w:left="0" w:leftChars="0" w:firstLine="640" w:firstLineChars="200"/>
        <w:rPr>
          <w:rFonts w:hint="eastAsia" w:ascii="宋体" w:hAnsi="宋体" w:eastAsia="仿宋" w:cs="仿宋"/>
          <w:b w:val="0"/>
          <w:bCs w:val="0"/>
          <w:sz w:val="32"/>
          <w:szCs w:val="32"/>
          <w:lang w:val="en-US" w:eastAsia="zh-CN"/>
        </w:rPr>
      </w:pPr>
    </w:p>
    <w:p>
      <w:pPr>
        <w:jc w:val="center"/>
        <w:rPr>
          <w:rFonts w:hint="eastAsia" w:ascii="宋体" w:hAnsi="宋体" w:eastAsia="仿宋" w:cs="仿宋"/>
          <w:b/>
          <w:bCs/>
          <w:sz w:val="32"/>
          <w:szCs w:val="32"/>
          <w:lang w:val="en-US" w:eastAsia="zh-CN"/>
        </w:rPr>
      </w:pPr>
      <w:r>
        <w:rPr>
          <w:rFonts w:hint="eastAsia" w:ascii="宋体" w:hAnsi="宋体" w:eastAsia="仿宋" w:cs="仿宋"/>
          <w:b/>
          <w:bCs/>
          <w:sz w:val="32"/>
          <w:szCs w:val="32"/>
          <w:lang w:val="en-US" w:eastAsia="zh-CN"/>
        </w:rPr>
        <w:t>“一村一品”绿色食品品牌列表</w:t>
      </w:r>
    </w:p>
    <w:tbl>
      <w:tblPr>
        <w:tblStyle w:val="7"/>
        <w:tblW w:w="9468" w:type="dxa"/>
        <w:jc w:val="center"/>
        <w:shd w:val="clear" w:color="auto" w:fill="auto"/>
        <w:tblLayout w:type="autofit"/>
        <w:tblCellMar>
          <w:top w:w="0" w:type="dxa"/>
          <w:left w:w="0" w:type="dxa"/>
          <w:bottom w:w="0" w:type="dxa"/>
          <w:right w:w="0" w:type="dxa"/>
        </w:tblCellMar>
      </w:tblPr>
      <w:tblGrid>
        <w:gridCol w:w="3612"/>
        <w:gridCol w:w="2177"/>
        <w:gridCol w:w="3679"/>
      </w:tblGrid>
      <w:tr>
        <w:tblPrEx>
          <w:tblCellMar>
            <w:top w:w="0" w:type="dxa"/>
            <w:left w:w="0" w:type="dxa"/>
            <w:bottom w:w="0" w:type="dxa"/>
            <w:right w:w="0" w:type="dxa"/>
          </w:tblCellMar>
        </w:tblPrEx>
        <w:trPr>
          <w:trHeight w:val="403" w:hRule="atLeast"/>
          <w:jc w:val="center"/>
        </w:trPr>
        <w:tc>
          <w:tcPr>
            <w:tcW w:w="2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村名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级别</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主导产业</w:t>
            </w:r>
          </w:p>
        </w:tc>
      </w:tr>
      <w:tr>
        <w:tblPrEx>
          <w:tblCellMar>
            <w:top w:w="0" w:type="dxa"/>
            <w:left w:w="0" w:type="dxa"/>
            <w:bottom w:w="0" w:type="dxa"/>
            <w:right w:w="0" w:type="dxa"/>
          </w:tblCellMar>
        </w:tblPrEx>
        <w:trPr>
          <w:trHeight w:val="4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黄坪镇子牙关村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州级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柑橘</w:t>
            </w:r>
          </w:p>
        </w:tc>
      </w:tr>
      <w:tr>
        <w:tblPrEx>
          <w:tblCellMar>
            <w:top w:w="0" w:type="dxa"/>
            <w:left w:w="0" w:type="dxa"/>
            <w:bottom w:w="0" w:type="dxa"/>
            <w:right w:w="0" w:type="dxa"/>
          </w:tblCellMar>
        </w:tblPrEx>
        <w:trPr>
          <w:trHeight w:val="4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黄坪镇龙泉村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州级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柑橘</w:t>
            </w:r>
          </w:p>
        </w:tc>
      </w:tr>
      <w:tr>
        <w:tblPrEx>
          <w:tblCellMar>
            <w:top w:w="0" w:type="dxa"/>
            <w:left w:w="0" w:type="dxa"/>
            <w:bottom w:w="0" w:type="dxa"/>
            <w:right w:w="0" w:type="dxa"/>
          </w:tblCellMar>
        </w:tblPrEx>
        <w:trPr>
          <w:trHeight w:val="4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龙开口镇箐北村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州级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甘蔗</w:t>
            </w:r>
          </w:p>
        </w:tc>
      </w:tr>
      <w:tr>
        <w:tblPrEx>
          <w:tblCellMar>
            <w:top w:w="0" w:type="dxa"/>
            <w:left w:w="0" w:type="dxa"/>
            <w:bottom w:w="0" w:type="dxa"/>
            <w:right w:w="0" w:type="dxa"/>
          </w:tblCellMar>
        </w:tblPrEx>
        <w:trPr>
          <w:trHeight w:val="4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辛屯镇妙登村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州级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藕鱼种养</w:t>
            </w:r>
          </w:p>
        </w:tc>
      </w:tr>
      <w:tr>
        <w:tblPrEx>
          <w:tblCellMar>
            <w:top w:w="0" w:type="dxa"/>
            <w:left w:w="0" w:type="dxa"/>
            <w:bottom w:w="0" w:type="dxa"/>
            <w:right w:w="0" w:type="dxa"/>
          </w:tblCellMar>
        </w:tblPrEx>
        <w:trPr>
          <w:trHeight w:val="4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西邑镇西邑村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州级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蔬菜</w:t>
            </w:r>
          </w:p>
        </w:tc>
      </w:tr>
      <w:tr>
        <w:tblPrEx>
          <w:tblCellMar>
            <w:top w:w="0" w:type="dxa"/>
            <w:left w:w="0" w:type="dxa"/>
            <w:bottom w:w="0" w:type="dxa"/>
            <w:right w:w="0" w:type="dxa"/>
          </w:tblCellMar>
        </w:tblPrEx>
        <w:trPr>
          <w:trHeight w:val="4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西邑镇响水河村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县级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 w:cs="仿宋"/>
                <w:i w:val="0"/>
                <w:color w:val="000000"/>
                <w:sz w:val="30"/>
                <w:szCs w:val="30"/>
                <w:u w:val="none"/>
              </w:rPr>
            </w:pPr>
            <w:r>
              <w:rPr>
                <w:rFonts w:hint="eastAsia" w:ascii="宋体" w:hAnsi="宋体" w:eastAsia="仿宋" w:cs="仿宋"/>
                <w:i w:val="0"/>
                <w:color w:val="000000"/>
                <w:kern w:val="0"/>
                <w:sz w:val="30"/>
                <w:szCs w:val="30"/>
                <w:u w:val="none"/>
                <w:lang w:val="en-US" w:eastAsia="zh-CN" w:bidi="ar"/>
              </w:rPr>
              <w:t>小甑子酒</w:t>
            </w:r>
          </w:p>
        </w:tc>
      </w:tr>
    </w:tbl>
    <w:p>
      <w:pPr>
        <w:ind w:left="0" w:leftChars="0" w:firstLine="640" w:firstLineChars="200"/>
        <w:rPr>
          <w:rFonts w:hint="eastAsia" w:ascii="宋体" w:hAnsi="宋体" w:eastAsia="仿宋" w:cs="仿宋"/>
          <w:b w:val="0"/>
          <w:bCs w:val="0"/>
          <w:sz w:val="32"/>
          <w:szCs w:val="32"/>
          <w:lang w:val="en-US" w:eastAsia="zh-CN"/>
        </w:rPr>
      </w:pPr>
    </w:p>
    <w:p>
      <w:pPr>
        <w:ind w:left="0" w:leftChars="0" w:firstLine="640" w:firstLineChars="200"/>
        <w:rPr>
          <w:rFonts w:hint="eastAsia" w:ascii="宋体" w:hAnsi="宋体" w:eastAsia="方正仿宋_GBK" w:cs="方正仿宋_GBK"/>
          <w:b w:val="0"/>
          <w:bCs w:val="0"/>
          <w:sz w:val="32"/>
          <w:szCs w:val="32"/>
          <w:lang w:val="en-US" w:eastAsia="zh-CN"/>
        </w:rPr>
      </w:pPr>
      <w:r>
        <w:rPr>
          <w:rFonts w:hint="eastAsia" w:ascii="宋体" w:hAnsi="宋体" w:eastAsia="方正仿宋_GBK" w:cs="方正仿宋_GBK"/>
          <w:b w:val="0"/>
          <w:bCs w:val="0"/>
          <w:sz w:val="32"/>
          <w:szCs w:val="32"/>
          <w:lang w:val="en-US" w:eastAsia="zh-CN"/>
        </w:rPr>
        <w:t>鼓励以行政村为基本单位组件农贸专业合作社（联合社）、健全“龙头企业+合作社+农户（家庭农场）”的“绿色食品牌”打造联动机制，培育本土农业“小巨人”和龙头企业集群。充分发挥经营主体的带贫益贫作用，通过培育发展壮大新型农业经营主体，带动贫困户产业发展、经济增收、提高精准脱贫成效。</w:t>
      </w:r>
    </w:p>
    <w:p>
      <w:pPr>
        <w:numPr>
          <w:ilvl w:val="0"/>
          <w:numId w:val="5"/>
        </w:numPr>
        <w:ind w:left="0" w:leftChars="0" w:firstLine="640" w:firstLineChars="0"/>
        <w:outlineLvl w:val="1"/>
        <w:rPr>
          <w:rFonts w:hint="eastAsia" w:ascii="宋体" w:hAnsi="宋体" w:eastAsia="方正楷体_GBK" w:cs="方正楷体_GBK"/>
          <w:b w:val="0"/>
          <w:bCs w:val="0"/>
          <w:sz w:val="32"/>
          <w:szCs w:val="32"/>
          <w:lang w:val="en-US" w:eastAsia="zh-CN"/>
        </w:rPr>
      </w:pPr>
      <w:bookmarkStart w:id="12" w:name="_Toc10400"/>
      <w:r>
        <w:rPr>
          <w:rFonts w:hint="eastAsia" w:ascii="宋体" w:hAnsi="宋体" w:eastAsia="方正楷体_GBK" w:cs="方正楷体_GBK"/>
          <w:b w:val="0"/>
          <w:bCs w:val="0"/>
          <w:sz w:val="32"/>
          <w:szCs w:val="32"/>
          <w:lang w:val="en-US" w:eastAsia="zh-CN"/>
        </w:rPr>
        <w:t>强化“绿色食品牌”种养基地</w:t>
      </w:r>
      <w:bookmarkEnd w:id="12"/>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lang w:val="en-US" w:eastAsia="zh-CN"/>
        </w:rPr>
        <w:t>按照“一县一业”和</w:t>
      </w:r>
      <w:r>
        <w:rPr>
          <w:rFonts w:hint="eastAsia" w:ascii="宋体" w:hAnsi="宋体" w:eastAsia="方正仿宋_GBK" w:cs="方正仿宋_GBK"/>
          <w:b w:val="0"/>
          <w:bCs w:val="0"/>
          <w:sz w:val="32"/>
          <w:szCs w:val="32"/>
          <w:highlight w:val="none"/>
          <w:lang w:val="en-US" w:eastAsia="zh-CN"/>
        </w:rPr>
        <w:t>“一村一品”的集中布局原则，采取土地流转、土地托管、股份合作、订单农业等多种方式，聚焦重点品种，着力加强市场潜力大、具有竞争优势的绿色食品品牌建设。巩固果蔬、乳畜业、中草药材等传统产业优势，扩大高附加值农产品出口，结合产业扶贫和农业面源污染治理战略，按照洱海流域和长江经济带绿色发展禁用含氮磷化肥、高度高残留农药的要求，以及绿色食品农药、肥料使用准则和相应的生产技术标注，大力发展种养循环、秸秆还田、改土治水、有机肥替代化肥、绿色防控、高效节水、生态互补型高效生态农业，着力打造一批绿色食品产业基地，打造好“绿色食品牌”第一车间。</w:t>
      </w:r>
    </w:p>
    <w:p>
      <w:pPr>
        <w:numPr>
          <w:ilvl w:val="0"/>
          <w:numId w:val="5"/>
        </w:numPr>
        <w:ind w:left="0" w:leftChars="0" w:firstLine="640" w:firstLineChars="0"/>
        <w:outlineLvl w:val="1"/>
        <w:rPr>
          <w:rFonts w:hint="eastAsia" w:ascii="宋体" w:hAnsi="宋体" w:eastAsia="方正楷体_GBK" w:cs="方正楷体_GBK"/>
          <w:b w:val="0"/>
          <w:bCs w:val="0"/>
          <w:sz w:val="32"/>
          <w:szCs w:val="32"/>
          <w:lang w:val="en-US" w:eastAsia="zh-CN"/>
        </w:rPr>
      </w:pPr>
      <w:bookmarkStart w:id="13" w:name="_Toc11124"/>
      <w:r>
        <w:rPr>
          <w:rFonts w:hint="eastAsia" w:ascii="宋体" w:hAnsi="宋体" w:eastAsia="方正楷体_GBK" w:cs="方正楷体_GBK"/>
          <w:b w:val="0"/>
          <w:bCs w:val="0"/>
          <w:sz w:val="32"/>
          <w:szCs w:val="32"/>
          <w:lang w:val="en-US" w:eastAsia="zh-CN"/>
        </w:rPr>
        <w:t>拓展“绿色食品牌”市场</w:t>
      </w:r>
      <w:bookmarkEnd w:id="13"/>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积极组织绿色食品生产企业参加各种会展和推介活动，提升鹤庆县绿色食品品牌的国际国内占有率。支持有实力的企业整合绿色食品资源，建立线上线下专业营销渠道，在北京、上海、广州、深圳等地开辟鹤庆绿色食品展示营销窗口，集中力量开拓国际国内市场。</w:t>
      </w:r>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加快推进“互联网+农业”，扩大农业物联网示范应用工作，鼓励互联网企业参与产加销环节，稳定拓展农产品加工企业与各类经营主体间的供销关系、契约关系和资本联结关系，构建紧密型利益联结机制。</w:t>
      </w:r>
    </w:p>
    <w:p>
      <w:pPr>
        <w:numPr>
          <w:ilvl w:val="0"/>
          <w:numId w:val="5"/>
        </w:numPr>
        <w:ind w:left="0" w:leftChars="0" w:firstLine="640" w:firstLineChars="0"/>
        <w:outlineLvl w:val="1"/>
        <w:rPr>
          <w:rFonts w:hint="eastAsia" w:ascii="宋体" w:hAnsi="宋体" w:eastAsia="方正楷体_GBK" w:cs="方正楷体_GBK"/>
          <w:b w:val="0"/>
          <w:bCs w:val="0"/>
          <w:sz w:val="32"/>
          <w:szCs w:val="32"/>
          <w:lang w:val="en-US" w:eastAsia="zh-CN"/>
        </w:rPr>
      </w:pPr>
      <w:bookmarkStart w:id="14" w:name="_Toc18433"/>
      <w:r>
        <w:rPr>
          <w:rFonts w:hint="eastAsia" w:ascii="宋体" w:hAnsi="宋体" w:eastAsia="方正楷体_GBK" w:cs="方正楷体_GBK"/>
          <w:b w:val="0"/>
          <w:bCs w:val="0"/>
          <w:sz w:val="32"/>
          <w:szCs w:val="32"/>
          <w:lang w:val="en-US" w:eastAsia="zh-CN"/>
        </w:rPr>
        <w:t>提升绿色食品加工水平，促进绿色食品商品化</w:t>
      </w:r>
      <w:bookmarkEnd w:id="14"/>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改善屠宰、储存、保鲜、烘干、分级、包装等设施条件，促进绿色食品商品化处理，减少产后损失，延伸产业链条，夯实绿色食品初加工基础。建议结合乡镇级物流中心或交易市场配套建设。</w:t>
      </w:r>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绿色食品如肉类、水果、中药材等适合进行精深加工，增加绿色食品附加值。建议在工业园区建设绿色食品精深加工基地，结合县级物流园区配套建设，形成全产业链条的现代农业产业园区。</w:t>
      </w:r>
    </w:p>
    <w:p>
      <w:pPr>
        <w:numPr>
          <w:ilvl w:val="0"/>
          <w:numId w:val="5"/>
        </w:numPr>
        <w:ind w:left="0" w:leftChars="0" w:firstLine="640" w:firstLineChars="0"/>
        <w:outlineLvl w:val="1"/>
        <w:rPr>
          <w:rFonts w:hint="eastAsia" w:ascii="宋体" w:hAnsi="宋体" w:eastAsia="方正楷体_GBK" w:cs="方正楷体_GBK"/>
          <w:b w:val="0"/>
          <w:bCs w:val="0"/>
          <w:sz w:val="32"/>
          <w:szCs w:val="32"/>
          <w:lang w:val="en-US" w:eastAsia="zh-CN"/>
        </w:rPr>
      </w:pPr>
      <w:bookmarkStart w:id="15" w:name="_Toc16426"/>
      <w:r>
        <w:rPr>
          <w:rFonts w:hint="eastAsia" w:ascii="宋体" w:hAnsi="宋体" w:eastAsia="方正楷体_GBK" w:cs="方正楷体_GBK"/>
          <w:b w:val="0"/>
          <w:bCs w:val="0"/>
          <w:sz w:val="32"/>
          <w:szCs w:val="32"/>
          <w:lang w:val="en-US" w:eastAsia="zh-CN"/>
        </w:rPr>
        <w:t>提高绿色食品质量安全水平</w:t>
      </w:r>
      <w:bookmarkEnd w:id="15"/>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健全农产品质量检测监管体系，推行农业标准化生产，加强农业投入品专项整治和日常监管，建设农产品质量安全可追溯体系，全面加强农产品质量安全监督管理。到2025年，主要农产品质量安全抽检合格率稳定在98%以上。</w:t>
      </w:r>
    </w:p>
    <w:p>
      <w:pPr>
        <w:numPr>
          <w:ilvl w:val="0"/>
          <w:numId w:val="1"/>
        </w:numPr>
        <w:ind w:left="0" w:leftChars="0" w:firstLine="640" w:firstLineChars="200"/>
        <w:outlineLvl w:val="0"/>
        <w:rPr>
          <w:rFonts w:hint="eastAsia" w:ascii="宋体" w:hAnsi="宋体" w:eastAsia="方正黑体_GBK" w:cs="方正黑体_GBK"/>
          <w:b w:val="0"/>
          <w:bCs w:val="0"/>
          <w:sz w:val="32"/>
          <w:szCs w:val="32"/>
          <w:lang w:eastAsia="zh-CN"/>
        </w:rPr>
      </w:pPr>
      <w:bookmarkStart w:id="16" w:name="_Toc30574"/>
      <w:r>
        <w:rPr>
          <w:rFonts w:hint="eastAsia" w:ascii="宋体" w:hAnsi="宋体" w:eastAsia="方正黑体_GBK" w:cs="方正黑体_GBK"/>
          <w:b w:val="0"/>
          <w:bCs w:val="0"/>
          <w:sz w:val="32"/>
          <w:szCs w:val="32"/>
          <w:lang w:eastAsia="zh-CN"/>
        </w:rPr>
        <w:t>保障措施</w:t>
      </w:r>
      <w:bookmarkEnd w:id="16"/>
    </w:p>
    <w:p>
      <w:pPr>
        <w:numPr>
          <w:ilvl w:val="0"/>
          <w:numId w:val="7"/>
        </w:numPr>
        <w:ind w:left="0" w:leftChars="0" w:firstLine="640" w:firstLineChars="200"/>
        <w:outlineLvl w:val="1"/>
        <w:rPr>
          <w:rFonts w:hint="eastAsia" w:ascii="宋体" w:hAnsi="宋体" w:eastAsia="方正楷体_GBK" w:cs="方正楷体_GBK"/>
          <w:b w:val="0"/>
          <w:bCs w:val="0"/>
          <w:sz w:val="32"/>
          <w:szCs w:val="32"/>
          <w:highlight w:val="none"/>
          <w:lang w:val="en-US" w:eastAsia="zh-CN"/>
        </w:rPr>
      </w:pPr>
      <w:bookmarkStart w:id="17" w:name="_Toc5847"/>
      <w:r>
        <w:rPr>
          <w:rFonts w:hint="eastAsia" w:ascii="宋体" w:hAnsi="宋体" w:eastAsia="方正楷体_GBK" w:cs="方正楷体_GBK"/>
          <w:b w:val="0"/>
          <w:bCs w:val="0"/>
          <w:sz w:val="32"/>
          <w:szCs w:val="32"/>
          <w:highlight w:val="none"/>
          <w:lang w:val="en-US" w:eastAsia="zh-CN"/>
        </w:rPr>
        <w:t>加强组织领导</w:t>
      </w:r>
      <w:bookmarkEnd w:id="17"/>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各部门、各乡镇要把推进全县“绿色食品牌”发展规划放在突出位置，要站在经济社会发展的高度，充分认识发展绿色食品的重要性和紧迫性。发挥县绿色食品产业领导小组的作用，抓好规划重大项目跟踪推进、协调政府资金投入、落实产业政策等重点工作。建立由相关部门参加的“绿色食品牌”工作领导小组，加强组织领导和沟通协调，明确工作职责和任务分工，形成部门合力。各部门、各乡镇要围绕规划目标任务，统筹谋划，强化配合，积极推动重大政策落到实处。</w:t>
      </w:r>
    </w:p>
    <w:p>
      <w:pPr>
        <w:numPr>
          <w:ilvl w:val="0"/>
          <w:numId w:val="7"/>
        </w:numPr>
        <w:ind w:left="0" w:leftChars="0" w:firstLine="640" w:firstLineChars="200"/>
        <w:outlineLvl w:val="1"/>
        <w:rPr>
          <w:rFonts w:hint="eastAsia" w:ascii="宋体" w:hAnsi="宋体" w:eastAsia="方正楷体_GBK" w:cs="方正楷体_GBK"/>
          <w:b w:val="0"/>
          <w:bCs w:val="0"/>
          <w:sz w:val="32"/>
          <w:szCs w:val="32"/>
          <w:highlight w:val="none"/>
          <w:lang w:val="en-US" w:eastAsia="zh-CN"/>
        </w:rPr>
      </w:pPr>
      <w:bookmarkStart w:id="18" w:name="_Toc15278"/>
      <w:r>
        <w:rPr>
          <w:rFonts w:hint="eastAsia" w:ascii="宋体" w:hAnsi="宋体" w:eastAsia="方正楷体_GBK" w:cs="方正楷体_GBK"/>
          <w:b w:val="0"/>
          <w:bCs w:val="0"/>
          <w:sz w:val="32"/>
          <w:szCs w:val="32"/>
          <w:highlight w:val="none"/>
          <w:lang w:val="en-US" w:eastAsia="zh-CN"/>
        </w:rPr>
        <w:t>创新金融支持</w:t>
      </w:r>
      <w:bookmarkEnd w:id="18"/>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加强与银政企保协作，开展联合担保、订单质押等新型贷款担保方式，实行优惠利率，加大对绿色食品企业的信贷支持。缓解市场主体“融资难、融资贵”困难。建立健全农业贷款财政贴息机制，探索乡村振兴产业贷款，县财政每年安排一定资金用于补助各类农业经营主体的贷款贴息，通过财政贴息杠杆，撬动更多社会资金投入绿色食品产业发展。</w:t>
      </w:r>
    </w:p>
    <w:p>
      <w:pPr>
        <w:numPr>
          <w:ilvl w:val="0"/>
          <w:numId w:val="7"/>
        </w:numPr>
        <w:ind w:left="0" w:leftChars="0" w:firstLine="640" w:firstLineChars="200"/>
        <w:outlineLvl w:val="1"/>
        <w:rPr>
          <w:rFonts w:hint="eastAsia" w:ascii="宋体" w:hAnsi="宋体" w:eastAsia="方正楷体_GBK" w:cs="方正楷体_GBK"/>
          <w:b w:val="0"/>
          <w:bCs w:val="0"/>
          <w:sz w:val="32"/>
          <w:szCs w:val="32"/>
          <w:highlight w:val="none"/>
          <w:lang w:val="en-US" w:eastAsia="zh-CN"/>
        </w:rPr>
      </w:pPr>
      <w:bookmarkStart w:id="19" w:name="_Toc3045"/>
      <w:r>
        <w:rPr>
          <w:rFonts w:hint="eastAsia" w:ascii="宋体" w:hAnsi="宋体" w:eastAsia="方正楷体_GBK" w:cs="方正楷体_GBK"/>
          <w:b w:val="0"/>
          <w:bCs w:val="0"/>
          <w:sz w:val="32"/>
          <w:szCs w:val="32"/>
          <w:highlight w:val="none"/>
          <w:lang w:val="en-US" w:eastAsia="zh-CN"/>
        </w:rPr>
        <w:t>营造加快绿色食品产业发展舆论氛围</w:t>
      </w:r>
      <w:bookmarkEnd w:id="19"/>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建立以各级宣传部门总牵头，各部门、各乡镇采取多种形式支持，开展绿色食品产业发展规划宣传，动员各方面力量积极参与规划实施，挖掘产业发展典型，发挥示范带动作用，在全县上下营造推进绿色食品产业发展的良好氛围。</w:t>
      </w:r>
    </w:p>
    <w:p>
      <w:pPr>
        <w:numPr>
          <w:ilvl w:val="0"/>
          <w:numId w:val="7"/>
        </w:numPr>
        <w:ind w:left="0" w:leftChars="0" w:firstLine="640" w:firstLineChars="200"/>
        <w:outlineLvl w:val="1"/>
        <w:rPr>
          <w:rFonts w:hint="eastAsia" w:ascii="宋体" w:hAnsi="宋体" w:eastAsia="方正楷体_GBK" w:cs="方正楷体_GBK"/>
          <w:b w:val="0"/>
          <w:bCs w:val="0"/>
          <w:sz w:val="32"/>
          <w:szCs w:val="32"/>
          <w:highlight w:val="none"/>
          <w:lang w:val="en-US" w:eastAsia="zh-CN"/>
        </w:rPr>
      </w:pPr>
      <w:bookmarkStart w:id="20" w:name="_Toc18235"/>
      <w:r>
        <w:rPr>
          <w:rFonts w:hint="eastAsia" w:ascii="宋体" w:hAnsi="宋体" w:eastAsia="方正楷体_GBK" w:cs="方正楷体_GBK"/>
          <w:b w:val="0"/>
          <w:bCs w:val="0"/>
          <w:sz w:val="32"/>
          <w:szCs w:val="32"/>
          <w:highlight w:val="none"/>
          <w:lang w:val="en-US" w:eastAsia="zh-CN"/>
        </w:rPr>
        <w:t>强化市场监管</w:t>
      </w:r>
      <w:bookmarkEnd w:id="20"/>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每年开展2次以上绿色、有机食品质量监督抽查，公示抽查结果，公布不合格产品，严厉打击各种冒用、滥用区域公共品牌及各类特色农产品及食品认证品牌行为。完善农产品质量安全追溯体系建设，统一追溯模式、统一业务流程、统一编码规则、统一信息采集，逐步实现对投入品、生产过程、流通过程的全程追溯。指导企业积极开展商标注册、专利申请、防伪设计、产品追溯等工作，建立自我保护、行政保护和司法保护“三位一体”的品牌保护体系。</w:t>
      </w:r>
    </w:p>
    <w:p>
      <w:pPr>
        <w:numPr>
          <w:ilvl w:val="0"/>
          <w:numId w:val="7"/>
        </w:numPr>
        <w:ind w:left="0" w:leftChars="0" w:firstLine="640" w:firstLineChars="200"/>
        <w:outlineLvl w:val="1"/>
        <w:rPr>
          <w:rFonts w:hint="eastAsia" w:ascii="宋体" w:hAnsi="宋体" w:eastAsia="方正楷体_GBK" w:cs="方正楷体_GBK"/>
          <w:b w:val="0"/>
          <w:bCs w:val="0"/>
          <w:sz w:val="32"/>
          <w:szCs w:val="32"/>
          <w:highlight w:val="none"/>
          <w:lang w:val="en-US" w:eastAsia="zh-CN"/>
        </w:rPr>
      </w:pPr>
      <w:bookmarkStart w:id="21" w:name="_Toc6329"/>
      <w:r>
        <w:rPr>
          <w:rFonts w:hint="eastAsia" w:ascii="宋体" w:hAnsi="宋体" w:eastAsia="方正楷体_GBK" w:cs="方正楷体_GBK"/>
          <w:b w:val="0"/>
          <w:bCs w:val="0"/>
          <w:sz w:val="32"/>
          <w:szCs w:val="32"/>
          <w:highlight w:val="none"/>
          <w:lang w:val="en-US" w:eastAsia="zh-CN"/>
        </w:rPr>
        <w:t>注重绩效考核</w:t>
      </w:r>
      <w:bookmarkEnd w:id="21"/>
    </w:p>
    <w:p>
      <w:pPr>
        <w:ind w:left="0" w:leftChars="0" w:firstLine="640" w:firstLineChars="200"/>
        <w:rPr>
          <w:rFonts w:hint="eastAsia" w:ascii="宋体" w:hAnsi="宋体" w:eastAsia="方正仿宋_GBK" w:cs="方正仿宋_GBK"/>
          <w:b w:val="0"/>
          <w:bCs w:val="0"/>
          <w:sz w:val="32"/>
          <w:szCs w:val="32"/>
          <w:highlight w:val="none"/>
          <w:lang w:val="en-US" w:eastAsia="zh-CN"/>
        </w:rPr>
      </w:pPr>
      <w:r>
        <w:rPr>
          <w:rFonts w:hint="eastAsia" w:ascii="宋体" w:hAnsi="宋体" w:eastAsia="方正仿宋_GBK" w:cs="方正仿宋_GBK"/>
          <w:b w:val="0"/>
          <w:bCs w:val="0"/>
          <w:sz w:val="32"/>
          <w:szCs w:val="32"/>
          <w:highlight w:val="none"/>
          <w:lang w:val="en-US" w:eastAsia="zh-CN"/>
        </w:rPr>
        <w:t>县对乡镇的“三农”考核指标中增加绿色、有机农产品发展成效的考核指标，制定考核办法，定期对各乡镇、各部门对打造“绿色食品牌”重点工作进行督查，推行目标责任制，为绿色食品发展提供保障。</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50495" cy="2012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50495" cy="201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85pt;width:11.85pt;mso-position-horizontal:right;mso-position-horizontal-relative:margin;z-index:251660288;mso-width-relative:page;mso-height-relative:page;" filled="f" stroked="f" coordsize="21600,21600" o:gfxdata="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k6AG9MAAAADAQAADwAAAAAA&#10;AAABACAAAAAiAAAAZHJzL2Rvd25yZXYueG1sUEsBAhQAFAAAAAgAh07iQNuorycYAgAAEwQAAA4A&#10;AAAAAAAAAQAgAAAAIgEAAGRycy9lMm9Eb2MueG1sUEsFBgAAAAAGAAYAWQEAAKwFAAAAAA==&#10;">
              <v:fill on="f" focussize="0,0"/>
              <v:stroke on="f" weight="0.5pt"/>
              <v:imagedata o:title=""/>
              <o:lock v:ext="edit" aspectratio="f"/>
              <v:textbox inset="0mm,0mm,0mm,0mm">
                <w:txbxContent>
                  <w:p>
                    <w:pPr>
                      <w:pStyle w:val="3"/>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63F4"/>
    <w:multiLevelType w:val="singleLevel"/>
    <w:tmpl w:val="1C3F63F4"/>
    <w:lvl w:ilvl="0" w:tentative="0">
      <w:start w:val="1"/>
      <w:numFmt w:val="chineseCounting"/>
      <w:suff w:val="nothing"/>
      <w:lvlText w:val="%1、"/>
      <w:lvlJc w:val="left"/>
      <w:rPr>
        <w:rFonts w:hint="eastAsia"/>
      </w:rPr>
    </w:lvl>
  </w:abstractNum>
  <w:abstractNum w:abstractNumId="1">
    <w:nsid w:val="1DD711CC"/>
    <w:multiLevelType w:val="singleLevel"/>
    <w:tmpl w:val="1DD711CC"/>
    <w:lvl w:ilvl="0" w:tentative="0">
      <w:start w:val="1"/>
      <w:numFmt w:val="decimal"/>
      <w:suff w:val="nothing"/>
      <w:lvlText w:val="%1、"/>
      <w:lvlJc w:val="left"/>
    </w:lvl>
  </w:abstractNum>
  <w:abstractNum w:abstractNumId="2">
    <w:nsid w:val="33F6DE19"/>
    <w:multiLevelType w:val="singleLevel"/>
    <w:tmpl w:val="33F6DE19"/>
    <w:lvl w:ilvl="0" w:tentative="0">
      <w:start w:val="1"/>
      <w:numFmt w:val="chineseCounting"/>
      <w:suff w:val="nothing"/>
      <w:lvlText w:val="（%1）"/>
      <w:lvlJc w:val="left"/>
      <w:rPr>
        <w:rFonts w:hint="eastAsia"/>
      </w:rPr>
    </w:lvl>
  </w:abstractNum>
  <w:abstractNum w:abstractNumId="3">
    <w:nsid w:val="39EE085C"/>
    <w:multiLevelType w:val="singleLevel"/>
    <w:tmpl w:val="39EE085C"/>
    <w:lvl w:ilvl="0" w:tentative="0">
      <w:start w:val="1"/>
      <w:numFmt w:val="decimal"/>
      <w:suff w:val="nothing"/>
      <w:lvlText w:val="%1、"/>
      <w:lvlJc w:val="left"/>
    </w:lvl>
  </w:abstractNum>
  <w:abstractNum w:abstractNumId="4">
    <w:nsid w:val="665D756A"/>
    <w:multiLevelType w:val="singleLevel"/>
    <w:tmpl w:val="665D756A"/>
    <w:lvl w:ilvl="0" w:tentative="0">
      <w:start w:val="1"/>
      <w:numFmt w:val="chineseCounting"/>
      <w:suff w:val="nothing"/>
      <w:lvlText w:val="（%1）"/>
      <w:lvlJc w:val="left"/>
      <w:rPr>
        <w:rFonts w:hint="eastAsia"/>
      </w:rPr>
    </w:lvl>
  </w:abstractNum>
  <w:abstractNum w:abstractNumId="5">
    <w:nsid w:val="6DD36F00"/>
    <w:multiLevelType w:val="singleLevel"/>
    <w:tmpl w:val="6DD36F00"/>
    <w:lvl w:ilvl="0" w:tentative="0">
      <w:start w:val="1"/>
      <w:numFmt w:val="chineseCounting"/>
      <w:suff w:val="nothing"/>
      <w:lvlText w:val="（%1）"/>
      <w:lvlJc w:val="left"/>
      <w:pPr>
        <w:ind w:left="0" w:firstLine="420"/>
      </w:pPr>
      <w:rPr>
        <w:rFonts w:hint="eastAsia"/>
      </w:rPr>
    </w:lvl>
  </w:abstractNum>
  <w:abstractNum w:abstractNumId="6">
    <w:nsid w:val="7FFFF326"/>
    <w:multiLevelType w:val="singleLevel"/>
    <w:tmpl w:val="7FFFF326"/>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77FCF"/>
    <w:rsid w:val="003236D3"/>
    <w:rsid w:val="017B6181"/>
    <w:rsid w:val="033B0AE0"/>
    <w:rsid w:val="04EB079E"/>
    <w:rsid w:val="05264861"/>
    <w:rsid w:val="07737FD8"/>
    <w:rsid w:val="0800780D"/>
    <w:rsid w:val="09E263C6"/>
    <w:rsid w:val="0A126725"/>
    <w:rsid w:val="0B7C2D4A"/>
    <w:rsid w:val="0BF118EA"/>
    <w:rsid w:val="0CF53E87"/>
    <w:rsid w:val="101A7692"/>
    <w:rsid w:val="10685325"/>
    <w:rsid w:val="125E53A3"/>
    <w:rsid w:val="160F045B"/>
    <w:rsid w:val="16570E69"/>
    <w:rsid w:val="18DF0BE0"/>
    <w:rsid w:val="19364303"/>
    <w:rsid w:val="19B6565E"/>
    <w:rsid w:val="19EF45E3"/>
    <w:rsid w:val="1A5E7D4E"/>
    <w:rsid w:val="1C2A710A"/>
    <w:rsid w:val="1E037D0F"/>
    <w:rsid w:val="21F2764A"/>
    <w:rsid w:val="2430781E"/>
    <w:rsid w:val="25F77FCF"/>
    <w:rsid w:val="282F3684"/>
    <w:rsid w:val="28460B5E"/>
    <w:rsid w:val="29E449B6"/>
    <w:rsid w:val="2CD716CB"/>
    <w:rsid w:val="2D5C6449"/>
    <w:rsid w:val="2F3F18D6"/>
    <w:rsid w:val="35062772"/>
    <w:rsid w:val="3824779D"/>
    <w:rsid w:val="38933AA4"/>
    <w:rsid w:val="3FC40E16"/>
    <w:rsid w:val="4165075B"/>
    <w:rsid w:val="41C5606D"/>
    <w:rsid w:val="444A616F"/>
    <w:rsid w:val="4DED1DBA"/>
    <w:rsid w:val="4ECD14F6"/>
    <w:rsid w:val="503C5483"/>
    <w:rsid w:val="520766A8"/>
    <w:rsid w:val="52FA0620"/>
    <w:rsid w:val="548777B7"/>
    <w:rsid w:val="54F11991"/>
    <w:rsid w:val="55CB47B5"/>
    <w:rsid w:val="58107293"/>
    <w:rsid w:val="5ABD51FC"/>
    <w:rsid w:val="5EEC04C1"/>
    <w:rsid w:val="618A026E"/>
    <w:rsid w:val="619046E5"/>
    <w:rsid w:val="64842B4C"/>
    <w:rsid w:val="64C45466"/>
    <w:rsid w:val="64F343CF"/>
    <w:rsid w:val="656B63D4"/>
    <w:rsid w:val="66805794"/>
    <w:rsid w:val="671F19CE"/>
    <w:rsid w:val="67C901B0"/>
    <w:rsid w:val="6D342F59"/>
    <w:rsid w:val="6E1C4855"/>
    <w:rsid w:val="73681177"/>
    <w:rsid w:val="73B6766C"/>
    <w:rsid w:val="74430221"/>
    <w:rsid w:val="75290C32"/>
    <w:rsid w:val="75561871"/>
    <w:rsid w:val="7B855FD3"/>
    <w:rsid w:val="7C404565"/>
    <w:rsid w:val="7D896F4F"/>
    <w:rsid w:val="7FE81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rPr>
      <w:color w:val="666666"/>
      <w:sz w:val="18"/>
      <w:szCs w:val="18"/>
      <w:bdr w:val="single" w:color="E2E2E2" w:sz="6" w:space="0"/>
      <w:shd w:val="clear" w:fill="FFFFFF"/>
    </w:rPr>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ascii="serif" w:hAnsi="serif" w:eastAsia="serif" w:cs="serif"/>
      <w:sz w:val="21"/>
      <w:szCs w:val="21"/>
    </w:rPr>
  </w:style>
  <w:style w:type="character" w:styleId="17">
    <w:name w:val="HTML Cite"/>
    <w:basedOn w:val="9"/>
    <w:qFormat/>
    <w:uiPriority w:val="0"/>
  </w:style>
  <w:style w:type="character" w:styleId="18">
    <w:name w:val="HTML Keyboard"/>
    <w:basedOn w:val="9"/>
    <w:qFormat/>
    <w:uiPriority w:val="0"/>
    <w:rPr>
      <w:rFonts w:hint="default" w:ascii="serif" w:hAnsi="serif" w:eastAsia="serif" w:cs="serif"/>
      <w:sz w:val="21"/>
      <w:szCs w:val="21"/>
    </w:rPr>
  </w:style>
  <w:style w:type="character" w:styleId="19">
    <w:name w:val="HTML Sample"/>
    <w:basedOn w:val="9"/>
    <w:qFormat/>
    <w:uiPriority w:val="0"/>
    <w:rPr>
      <w:rFonts w:hint="default" w:ascii="serif" w:hAnsi="serif" w:eastAsia="serif" w:cs="serif"/>
      <w:sz w:val="21"/>
      <w:szCs w:val="21"/>
    </w:rPr>
  </w:style>
  <w:style w:type="paragraph" w:customStyle="1" w:styleId="20">
    <w:name w:val="表头1"/>
    <w:basedOn w:val="1"/>
    <w:qFormat/>
    <w:uiPriority w:val="0"/>
    <w:pPr>
      <w:spacing w:before="156" w:beforeLines="50" w:after="156" w:afterLines="50"/>
      <w:contextualSpacing/>
      <w:jc w:val="center"/>
    </w:pPr>
    <w:rPr>
      <w:rFonts w:eastAsia="黑体"/>
      <w:sz w:val="28"/>
      <w:szCs w:val="20"/>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strikethrough"/>
    <w:basedOn w:val="9"/>
    <w:qFormat/>
    <w:uiPriority w:val="0"/>
    <w:rPr>
      <w:strike/>
    </w:rPr>
  </w:style>
  <w:style w:type="character" w:customStyle="1" w:styleId="24">
    <w:name w:val="fontborder"/>
    <w:basedOn w:val="9"/>
    <w:qFormat/>
    <w:uiPriority w:val="0"/>
    <w:rPr>
      <w:bdr w:val="single" w:color="00000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2020-05-21T02:10:00Z</dcterms:created>
  <dc:creator>Administrator</dc:creator>
  <cp:lastModifiedBy>Administrator</cp:lastModifiedBy>
  <dcterms:modified xsi:type="dcterms:W3CDTF">2022-01-17T08:28:53Z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DC701C7B67484380B8D3FC8C0D69E4E4</vt:lpwstr>
  </property>
</Properties>
</file>