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tabs>
          <w:tab w:val="left" w:pos="1000"/>
        </w:tabs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鹤庆县松材线虫病疫情防控区划表</w:t>
      </w:r>
    </w:p>
    <w:bookmarkEnd w:id="0"/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1843"/>
        <w:gridCol w:w="8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行政区划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区划划分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数量（个）</w:t>
            </w:r>
          </w:p>
        </w:tc>
        <w:tc>
          <w:tcPr>
            <w:tcW w:w="8821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乡镇行政名称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鹤庆县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重型疫区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8821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轻型疫区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8821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一般预防区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8821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重点预防区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000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8821" w:type="dxa"/>
            <w:vAlign w:val="center"/>
          </w:tcPr>
          <w:p>
            <w:pPr>
              <w:tabs>
                <w:tab w:val="left" w:pos="1000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辛屯镇、草海镇、云鹤镇、金墩乡、松桂镇、西邑镇、黄坪镇、龙开口镇、六合乡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B7BD9"/>
    <w:rsid w:val="58AB7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2022-03-03T02:01:00Z</dcterms:created>
  <dc:creator>林业局</dc:creator>
  <cp:lastModifiedBy>林业局</cp:lastModifiedBy>
  <dcterms:modified xsi:type="dcterms:W3CDTF">2022-03-03T02:01:50Z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