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550" w:lineRule="exact"/>
        <w:ind w:left="0"/>
        <w:jc w:val="center"/>
        <w:textAlignment w:val="auto"/>
        <w:rPr>
          <w:rFonts w:hint="eastAsia" w:ascii="方正小标宋_GBK" w:hAnsi="方正小标宋_GBK" w:eastAsia="方正小标宋_GBK" w:cs="方正小标宋_GBK"/>
          <w:b w:val="0"/>
          <w:bCs w:val="0"/>
          <w:color w:val="000000" w:themeColor="text1"/>
          <w:spacing w:val="-20"/>
          <w:sz w:val="44"/>
          <w:szCs w:val="44"/>
          <w:lang w:eastAsia="zh-CN"/>
          <w14:textFill>
            <w14:solidFill>
              <w14:schemeClr w14:val="tx1"/>
            </w14:solidFill>
          </w14:textFill>
        </w:rPr>
      </w:pPr>
      <w:r>
        <w:rPr>
          <w:rFonts w:hint="eastAsia" w:ascii="方正小标宋_GBK" w:hAnsi="方正小标宋_GBK" w:eastAsia="方正小标宋_GBK" w:cs="方正小标宋_GBK"/>
          <w:b w:val="0"/>
          <w:bCs w:val="0"/>
          <w:color w:val="000000" w:themeColor="text1"/>
          <w:spacing w:val="-20"/>
          <w:sz w:val="44"/>
          <w:szCs w:val="44"/>
          <w:lang w:eastAsia="zh-CN"/>
          <w14:textFill>
            <w14:solidFill>
              <w14:schemeClr w14:val="tx1"/>
            </w14:solidFill>
          </w14:textFill>
        </w:rPr>
        <w:t>关于《</w:t>
      </w:r>
      <w:r>
        <w:rPr>
          <w:rFonts w:hint="eastAsia" w:ascii="Times New Roman" w:hAnsi="Times New Roman" w:eastAsia="方正小标宋_GBK" w:cs="Times New Roman"/>
          <w:spacing w:val="-20"/>
          <w:kern w:val="2"/>
          <w:sz w:val="44"/>
          <w:szCs w:val="44"/>
          <w:highlight w:val="none"/>
          <w:lang w:val="en-US" w:eastAsia="zh-CN" w:bidi="ar-SA"/>
        </w:rPr>
        <w:t>鹤庆县行政事业性国有资产管理办法</w:t>
      </w:r>
      <w:r>
        <w:rPr>
          <w:rFonts w:hint="eastAsia" w:ascii="方正小标宋_GBK" w:hAnsi="方正小标宋_GBK" w:eastAsia="方正小标宋_GBK" w:cs="方正小标宋_GBK"/>
          <w:b w:val="0"/>
          <w:bCs w:val="0"/>
          <w:color w:val="000000" w:themeColor="text1"/>
          <w:spacing w:val="-20"/>
          <w:sz w:val="44"/>
          <w:szCs w:val="44"/>
          <w:lang w:eastAsia="zh-CN"/>
          <w14:textFill>
            <w14:solidFill>
              <w14:schemeClr w14:val="tx1"/>
            </w14:solidFill>
          </w14:textFill>
        </w:rPr>
        <w:t>》的</w:t>
      </w:r>
    </w:p>
    <w:p>
      <w:pPr>
        <w:pageBreakBefore w:val="0"/>
        <w:widowControl w:val="0"/>
        <w:kinsoku/>
        <w:wordWrap/>
        <w:overflowPunct/>
        <w:topLinePunct w:val="0"/>
        <w:autoSpaceDE/>
        <w:autoSpaceDN/>
        <w:bidi w:val="0"/>
        <w:adjustRightInd/>
        <w:snapToGrid/>
        <w:spacing w:line="550" w:lineRule="exact"/>
        <w:ind w:left="0"/>
        <w:jc w:val="center"/>
        <w:textAlignment w:val="auto"/>
        <w:rPr>
          <w:rFonts w:hint="eastAsia" w:ascii="方正小标宋_GBK" w:hAnsi="方正小标宋_GBK" w:eastAsia="方正小标宋_GBK" w:cs="方正小标宋_GBK"/>
          <w:b w:val="0"/>
          <w:bCs w:val="0"/>
          <w:color w:val="000000" w:themeColor="text1"/>
          <w:sz w:val="44"/>
          <w:szCs w:val="44"/>
          <w:lang w:eastAsia="zh-CN"/>
          <w14:textFill>
            <w14:solidFill>
              <w14:schemeClr w14:val="tx1"/>
            </w14:solidFill>
          </w14:textFill>
        </w:rPr>
      </w:pPr>
      <w:r>
        <w:rPr>
          <w:rFonts w:hint="eastAsia" w:ascii="方正小标宋_GBK" w:hAnsi="方正小标宋_GBK" w:eastAsia="方正小标宋_GBK" w:cs="方正小标宋_GBK"/>
          <w:b w:val="0"/>
          <w:bCs w:val="0"/>
          <w:color w:val="000000" w:themeColor="text1"/>
          <w:sz w:val="44"/>
          <w:szCs w:val="44"/>
          <w:lang w:eastAsia="zh-CN"/>
          <w14:textFill>
            <w14:solidFill>
              <w14:schemeClr w14:val="tx1"/>
            </w14:solidFill>
          </w14:textFill>
        </w:rPr>
        <w:t>备案说明</w:t>
      </w:r>
    </w:p>
    <w:p>
      <w:pPr>
        <w:pageBreakBefore w:val="0"/>
        <w:widowControl w:val="0"/>
        <w:kinsoku/>
        <w:wordWrap/>
        <w:overflowPunct/>
        <w:topLinePunct w:val="0"/>
        <w:autoSpaceDE/>
        <w:autoSpaceDN/>
        <w:bidi w:val="0"/>
        <w:adjustRightInd/>
        <w:snapToGrid/>
        <w:spacing w:line="550" w:lineRule="exact"/>
        <w:ind w:left="0" w:leftChars="0" w:right="0" w:firstLine="0" w:firstLineChars="0"/>
        <w:jc w:val="both"/>
        <w:textAlignment w:val="auto"/>
        <w:outlineLvl w:val="9"/>
        <w:rPr>
          <w:rFonts w:hint="eastAsia" w:ascii="宋体" w:hAnsi="宋体" w:eastAsia="方正仿宋_GBK" w:cs="方正仿宋_GBK"/>
          <w:b w:val="0"/>
          <w:bCs w:val="0"/>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50" w:lineRule="exact"/>
        <w:ind w:left="0" w:leftChars="0" w:right="0" w:firstLine="640" w:firstLineChars="200"/>
        <w:jc w:val="both"/>
        <w:textAlignment w:val="auto"/>
        <w:outlineLvl w:val="9"/>
        <w:rPr>
          <w:rFonts w:hint="eastAsia" w:ascii="宋体" w:hAnsi="宋体" w:eastAsia="方正仿宋_GBK" w:cs="方正仿宋_GBK"/>
          <w:b w:val="0"/>
          <w:bCs w:val="0"/>
          <w:color w:val="000000" w:themeColor="text1"/>
          <w:sz w:val="32"/>
          <w:szCs w:val="32"/>
          <w:lang w:eastAsia="zh-CN"/>
          <w14:textFill>
            <w14:solidFill>
              <w14:schemeClr w14:val="tx1"/>
            </w14:solidFill>
          </w14:textFill>
        </w:rPr>
      </w:pPr>
      <w:r>
        <w:rPr>
          <w:rFonts w:hint="eastAsia" w:ascii="宋体" w:hAnsi="宋体" w:eastAsia="方正仿宋_GBK" w:cs="方正仿宋_GBK"/>
          <w:b w:val="0"/>
          <w:bCs w:val="0"/>
          <w:color w:val="000000" w:themeColor="text1"/>
          <w:kern w:val="44"/>
          <w:sz w:val="32"/>
          <w:szCs w:val="32"/>
          <w:lang w:val="en-US" w:eastAsia="zh-CN" w:bidi="ar-SA"/>
          <w14:textFill>
            <w14:solidFill>
              <w14:schemeClr w14:val="tx1"/>
            </w14:solidFill>
          </w14:textFill>
        </w:rPr>
        <w:t>《鹤庆县行政事业性国有资产管理办法》（鹤政规</w:t>
      </w:r>
      <w:r>
        <w:rPr>
          <w:rFonts w:hint="eastAsia" w:ascii="宋体" w:hAnsi="宋体" w:eastAsia="方正仿宋简体" w:cs="方正仿宋简体"/>
          <w:b w:val="0"/>
          <w:bCs w:val="0"/>
          <w:color w:val="000000" w:themeColor="text1"/>
          <w:sz w:val="32"/>
          <w:szCs w:val="32"/>
          <w:lang w:eastAsia="zh-CN"/>
          <w14:textFill>
            <w14:solidFill>
              <w14:schemeClr w14:val="tx1"/>
            </w14:solidFill>
          </w14:textFill>
        </w:rPr>
        <w:t>〔</w:t>
      </w:r>
      <w:r>
        <w:rPr>
          <w:rFonts w:hint="eastAsia" w:ascii="宋体" w:hAnsi="宋体" w:eastAsia="方正仿宋_GBK" w:cs="方正仿宋_GBK"/>
          <w:b w:val="0"/>
          <w:bCs w:val="0"/>
          <w:color w:val="000000" w:themeColor="text1"/>
          <w:sz w:val="32"/>
          <w:szCs w:val="32"/>
          <w:lang w:val="en-US" w:eastAsia="zh-CN"/>
          <w14:textFill>
            <w14:solidFill>
              <w14:schemeClr w14:val="tx1"/>
            </w14:solidFill>
          </w14:textFill>
        </w:rPr>
        <w:t>2022</w:t>
      </w:r>
      <w:r>
        <w:rPr>
          <w:rFonts w:hint="eastAsia" w:ascii="宋体" w:hAnsi="宋体" w:eastAsia="方正仿宋简体" w:cs="方正仿宋简体"/>
          <w:b w:val="0"/>
          <w:bCs w:val="0"/>
          <w:color w:val="000000" w:themeColor="text1"/>
          <w:sz w:val="32"/>
          <w:szCs w:val="32"/>
          <w:lang w:eastAsia="zh-CN"/>
          <w14:textFill>
            <w14:solidFill>
              <w14:schemeClr w14:val="tx1"/>
            </w14:solidFill>
          </w14:textFill>
        </w:rPr>
        <w:t>〕</w:t>
      </w:r>
      <w:r>
        <w:rPr>
          <w:rFonts w:hint="eastAsia" w:ascii="宋体" w:hAnsi="宋体" w:eastAsia="方正仿宋简体" w:cs="方正仿宋简体"/>
          <w:b w:val="0"/>
          <w:bCs w:val="0"/>
          <w:color w:val="000000" w:themeColor="text1"/>
          <w:sz w:val="32"/>
          <w:szCs w:val="32"/>
          <w:lang w:val="en-US" w:eastAsia="zh-CN"/>
          <w14:textFill>
            <w14:solidFill>
              <w14:schemeClr w14:val="tx1"/>
            </w14:solidFill>
          </w14:textFill>
        </w:rPr>
        <w:t>4</w:t>
      </w:r>
      <w:r>
        <w:rPr>
          <w:rFonts w:hint="eastAsia" w:ascii="宋体" w:hAnsi="宋体" w:eastAsia="方正仿宋_GBK" w:cs="方正仿宋_GBK"/>
          <w:b w:val="0"/>
          <w:bCs w:val="0"/>
          <w:color w:val="000000" w:themeColor="text1"/>
          <w:sz w:val="32"/>
          <w:szCs w:val="32"/>
          <w:lang w:val="en-US" w:eastAsia="zh-CN"/>
          <w14:textFill>
            <w14:solidFill>
              <w14:schemeClr w14:val="tx1"/>
            </w14:solidFill>
          </w14:textFill>
        </w:rPr>
        <w:t>号</w:t>
      </w:r>
      <w:r>
        <w:rPr>
          <w:rFonts w:hint="eastAsia" w:ascii="宋体" w:hAnsi="宋体" w:eastAsia="方正仿宋_GBK" w:cs="方正仿宋_GBK"/>
          <w:b w:val="0"/>
          <w:bCs w:val="0"/>
          <w:color w:val="000000" w:themeColor="text1"/>
          <w:sz w:val="32"/>
          <w:szCs w:val="32"/>
          <w:lang w:eastAsia="zh-CN"/>
          <w14:textFill>
            <w14:solidFill>
              <w14:schemeClr w14:val="tx1"/>
            </w14:solidFill>
          </w14:textFill>
        </w:rPr>
        <w:t>），以下简称《办法》已印发，现将情况说明如下：</w:t>
      </w:r>
    </w:p>
    <w:p>
      <w:pPr>
        <w:keepNext w:val="0"/>
        <w:keepLines w:val="0"/>
        <w:pageBreakBefore w:val="0"/>
        <w:widowControl w:val="0"/>
        <w:numPr>
          <w:ilvl w:val="0"/>
          <w:numId w:val="1"/>
        </w:numPr>
        <w:kinsoku/>
        <w:wordWrap/>
        <w:overflowPunct/>
        <w:topLinePunct w:val="0"/>
        <w:autoSpaceDE/>
        <w:autoSpaceDN/>
        <w:bidi w:val="0"/>
        <w:adjustRightInd/>
        <w:snapToGrid/>
        <w:spacing w:line="550" w:lineRule="exact"/>
        <w:ind w:left="0" w:leftChars="0" w:right="0" w:firstLine="640" w:firstLineChars="200"/>
        <w:jc w:val="both"/>
        <w:textAlignment w:val="auto"/>
        <w:outlineLvl w:val="9"/>
        <w:rPr>
          <w:rFonts w:hint="eastAsia" w:ascii="方正黑体_GBK" w:hAnsi="方正黑体_GBK" w:eastAsia="方正黑体_GBK" w:cs="方正黑体_GBK"/>
          <w:b w:val="0"/>
          <w:bCs w:val="0"/>
          <w:color w:val="000000" w:themeColor="text1"/>
          <w:sz w:val="32"/>
          <w:szCs w:val="32"/>
          <w:lang w:eastAsia="zh-CN"/>
          <w14:textFill>
            <w14:solidFill>
              <w14:schemeClr w14:val="tx1"/>
            </w14:solidFill>
          </w14:textFill>
        </w:rPr>
      </w:pPr>
      <w:r>
        <w:rPr>
          <w:rFonts w:hint="eastAsia" w:ascii="方正黑体_GBK" w:hAnsi="方正黑体_GBK" w:eastAsia="方正黑体_GBK" w:cs="方正黑体_GBK"/>
          <w:b w:val="0"/>
          <w:bCs w:val="0"/>
          <w:color w:val="000000" w:themeColor="text1"/>
          <w:sz w:val="32"/>
          <w:szCs w:val="32"/>
          <w:lang w:eastAsia="zh-CN"/>
          <w14:textFill>
            <w14:solidFill>
              <w14:schemeClr w14:val="tx1"/>
            </w14:solidFill>
          </w14:textFill>
        </w:rPr>
        <w:t>制定该办法的必要性</w:t>
      </w:r>
    </w:p>
    <w:p>
      <w:pPr>
        <w:pStyle w:val="2"/>
        <w:pageBreakBefore w:val="0"/>
        <w:widowControl w:val="0"/>
        <w:kinsoku/>
        <w:wordWrap/>
        <w:overflowPunct/>
        <w:topLinePunct w:val="0"/>
        <w:autoSpaceDE/>
        <w:autoSpaceDN/>
        <w:bidi w:val="0"/>
        <w:adjustRightInd/>
        <w:snapToGrid/>
        <w:spacing w:line="550" w:lineRule="exact"/>
        <w:ind w:left="0" w:firstLine="640" w:firstLineChars="200"/>
        <w:jc w:val="both"/>
        <w:textAlignment w:val="auto"/>
        <w:rPr>
          <w:rFonts w:hint="eastAsia" w:ascii="宋体" w:hAnsi="宋体" w:eastAsia="方正仿宋_GBK" w:cs="方正仿宋_GBK"/>
          <w:b w:val="0"/>
          <w:bCs w:val="0"/>
          <w:color w:val="000000" w:themeColor="text1"/>
          <w:kern w:val="44"/>
          <w:sz w:val="32"/>
          <w:szCs w:val="32"/>
          <w:lang w:val="en-US" w:eastAsia="zh-CN" w:bidi="ar-SA"/>
          <w14:textFill>
            <w14:solidFill>
              <w14:schemeClr w14:val="tx1"/>
            </w14:solidFill>
          </w14:textFill>
        </w:rPr>
      </w:pPr>
      <w:r>
        <w:rPr>
          <w:rFonts w:hint="eastAsia" w:ascii="宋体" w:hAnsi="宋体" w:eastAsia="方正仿宋_GBK" w:cs="方正仿宋_GBK"/>
          <w:b w:val="0"/>
          <w:bCs w:val="0"/>
          <w:color w:val="000000" w:themeColor="text1"/>
          <w:kern w:val="44"/>
          <w:sz w:val="32"/>
          <w:szCs w:val="32"/>
          <w:lang w:val="en-US" w:eastAsia="zh-CN" w:bidi="ar-SA"/>
          <w14:textFill>
            <w14:solidFill>
              <w14:schemeClr w14:val="tx1"/>
            </w14:solidFill>
          </w14:textFill>
        </w:rPr>
        <w:t>为规范和加强鹤庆县行政事业性国有资产管理和监督，维护国有资产安全完整，提高国有资产的使用效率，进一步转变职能、简政放权、优化资源配置，更好地保障行政事业单位有效运转和高效履职。</w:t>
      </w:r>
    </w:p>
    <w:p>
      <w:pPr>
        <w:keepNext w:val="0"/>
        <w:keepLines w:val="0"/>
        <w:pageBreakBefore w:val="0"/>
        <w:widowControl w:val="0"/>
        <w:numPr>
          <w:ilvl w:val="0"/>
          <w:numId w:val="1"/>
        </w:numPr>
        <w:kinsoku/>
        <w:wordWrap/>
        <w:overflowPunct/>
        <w:topLinePunct w:val="0"/>
        <w:autoSpaceDE/>
        <w:autoSpaceDN/>
        <w:bidi w:val="0"/>
        <w:adjustRightInd/>
        <w:snapToGrid/>
        <w:spacing w:line="550" w:lineRule="exact"/>
        <w:ind w:left="0" w:leftChars="0" w:right="0" w:firstLine="640" w:firstLineChars="200"/>
        <w:jc w:val="both"/>
        <w:textAlignment w:val="auto"/>
        <w:outlineLvl w:val="9"/>
        <w:rPr>
          <w:rFonts w:hint="eastAsia" w:ascii="方正黑体_GBK" w:hAnsi="方正黑体_GBK" w:eastAsia="方正黑体_GBK" w:cs="方正黑体_GBK"/>
          <w:b w:val="0"/>
          <w:bCs w:val="0"/>
          <w:color w:val="000000" w:themeColor="text1"/>
          <w:sz w:val="32"/>
          <w:szCs w:val="32"/>
          <w:lang w:eastAsia="zh-CN"/>
          <w14:textFill>
            <w14:solidFill>
              <w14:schemeClr w14:val="tx1"/>
            </w14:solidFill>
          </w14:textFill>
        </w:rPr>
      </w:pPr>
      <w:r>
        <w:rPr>
          <w:rFonts w:hint="eastAsia" w:ascii="方正黑体_GBK" w:hAnsi="方正黑体_GBK" w:eastAsia="方正黑体_GBK" w:cs="方正黑体_GBK"/>
          <w:b w:val="0"/>
          <w:bCs w:val="0"/>
          <w:color w:val="000000" w:themeColor="text1"/>
          <w:sz w:val="32"/>
          <w:szCs w:val="32"/>
          <w:lang w:eastAsia="zh-CN"/>
          <w14:textFill>
            <w14:solidFill>
              <w14:schemeClr w14:val="tx1"/>
            </w14:solidFill>
          </w14:textFill>
        </w:rPr>
        <w:t>文件编制依据说明</w:t>
      </w:r>
    </w:p>
    <w:p>
      <w:pPr>
        <w:keepNext w:val="0"/>
        <w:keepLines w:val="0"/>
        <w:pageBreakBefore w:val="0"/>
        <w:widowControl w:val="0"/>
        <w:kinsoku/>
        <w:wordWrap/>
        <w:overflowPunct/>
        <w:topLinePunct w:val="0"/>
        <w:autoSpaceDE/>
        <w:autoSpaceDN/>
        <w:bidi w:val="0"/>
        <w:adjustRightInd/>
        <w:snapToGrid/>
        <w:spacing w:line="550" w:lineRule="exact"/>
        <w:ind w:left="0" w:leftChars="0" w:right="0" w:firstLine="640" w:firstLineChars="200"/>
        <w:jc w:val="both"/>
        <w:textAlignment w:val="auto"/>
        <w:outlineLvl w:val="9"/>
        <w:rPr>
          <w:rFonts w:hint="eastAsia" w:ascii="宋体" w:hAnsi="宋体" w:eastAsia="方正仿宋_GBK" w:cs="方正仿宋_GBK"/>
          <w:b w:val="0"/>
          <w:bCs w:val="0"/>
          <w:color w:val="000000" w:themeColor="text1"/>
          <w:sz w:val="32"/>
          <w:szCs w:val="32"/>
          <w:lang w:val="en-US" w:eastAsia="zh-CN"/>
          <w14:textFill>
            <w14:solidFill>
              <w14:schemeClr w14:val="tx1"/>
            </w14:solidFill>
          </w14:textFill>
        </w:rPr>
      </w:pPr>
      <w:r>
        <w:rPr>
          <w:rFonts w:hint="eastAsia" w:ascii="宋体" w:hAnsi="宋体" w:eastAsia="方正仿宋_GBK" w:cs="方正仿宋_GBK"/>
          <w:b w:val="0"/>
          <w:bCs w:val="0"/>
          <w:color w:val="000000" w:themeColor="text1"/>
          <w:sz w:val="32"/>
          <w:szCs w:val="32"/>
          <w:lang w:eastAsia="zh-CN"/>
          <w14:textFill>
            <w14:solidFill>
              <w14:schemeClr w14:val="tx1"/>
            </w14:solidFill>
          </w14:textFill>
        </w:rPr>
        <w:t>《办法》依据</w:t>
      </w:r>
      <w:r>
        <w:rPr>
          <w:rFonts w:hint="eastAsia" w:ascii="方正仿宋_GBK" w:hAnsi="方正仿宋_GBK" w:eastAsia="方正仿宋_GBK" w:cs="方正仿宋_GBK"/>
          <w:kern w:val="2"/>
          <w:sz w:val="32"/>
          <w:szCs w:val="32"/>
          <w:lang w:val="en-US" w:eastAsia="zh-CN"/>
        </w:rPr>
        <w:t>《行政事业性国有资产管理条例》《云南省人民政府办公厅关于印发云南省行政事业单位国有资产管理办法的通知》</w:t>
      </w:r>
      <w:r>
        <w:rPr>
          <w:rFonts w:hint="eastAsia" w:ascii="Times New Roman" w:hAnsi="Times New Roman" w:eastAsia="方正仿宋_GBK" w:cs="Times New Roman"/>
          <w:sz w:val="32"/>
          <w:szCs w:val="32"/>
          <w:lang w:val="en-US" w:eastAsia="zh-CN"/>
        </w:rPr>
        <w:t>（云政办规〔2020〕3号）</w:t>
      </w:r>
      <w:r>
        <w:rPr>
          <w:rFonts w:hint="eastAsia" w:ascii="方正仿宋_GBK" w:hAnsi="方正仿宋_GBK" w:eastAsia="方正仿宋_GBK" w:cs="方正仿宋_GBK"/>
          <w:kern w:val="2"/>
          <w:sz w:val="32"/>
          <w:szCs w:val="32"/>
          <w:lang w:val="en-US" w:eastAsia="zh-CN"/>
        </w:rPr>
        <w:t>《大理白族自治州人民政府关于印发大理州行政事业性国有资产管理办法的通知》</w:t>
      </w:r>
      <w:r>
        <w:rPr>
          <w:rFonts w:hint="eastAsia" w:ascii="Times New Roman" w:hAnsi="Times New Roman" w:eastAsia="方正仿宋_GBK" w:cs="Times New Roman"/>
          <w:sz w:val="32"/>
          <w:szCs w:val="32"/>
          <w:lang w:val="en-US" w:eastAsia="zh-CN"/>
        </w:rPr>
        <w:t>（大政规〔2021〕5号）</w:t>
      </w:r>
      <w:r>
        <w:rPr>
          <w:rFonts w:hint="eastAsia" w:ascii="宋体" w:hAnsi="宋体" w:eastAsia="方正仿宋_GBK" w:cs="方正仿宋_GBK"/>
          <w:b w:val="0"/>
          <w:bCs w:val="0"/>
          <w:color w:val="000000" w:themeColor="text1"/>
          <w:sz w:val="32"/>
          <w:szCs w:val="32"/>
          <w:lang w:eastAsia="zh-CN"/>
          <w14:textFill>
            <w14:solidFill>
              <w14:schemeClr w14:val="tx1"/>
            </w14:solidFill>
          </w14:textFill>
        </w:rPr>
        <w:t>和</w:t>
      </w:r>
      <w:r>
        <w:rPr>
          <w:rFonts w:hint="eastAsia" w:ascii="方正仿宋_GBK" w:hAnsi="方正仿宋_GBK" w:eastAsia="方正仿宋_GBK" w:cs="方正仿宋_GBK"/>
          <w:kern w:val="2"/>
          <w:sz w:val="32"/>
          <w:szCs w:val="32"/>
          <w:lang w:val="en-US" w:eastAsia="zh-CN"/>
        </w:rPr>
        <w:t>《云南省行政规范性文件制定和备案办法》</w:t>
      </w:r>
      <w:r>
        <w:rPr>
          <w:rFonts w:hint="eastAsia" w:ascii="宋体" w:hAnsi="宋体" w:eastAsia="方正仿宋_GBK" w:cs="方正仿宋_GBK"/>
          <w:b w:val="0"/>
          <w:bCs w:val="0"/>
          <w:color w:val="000000" w:themeColor="text1"/>
          <w:sz w:val="32"/>
          <w:szCs w:val="32"/>
          <w:lang w:val="en-US" w:eastAsia="zh-CN"/>
          <w14:textFill>
            <w14:solidFill>
              <w14:schemeClr w14:val="tx1"/>
            </w14:solidFill>
          </w14:textFill>
        </w:rPr>
        <w:t>等法律、法规制定。</w:t>
      </w:r>
    </w:p>
    <w:p>
      <w:pPr>
        <w:keepNext w:val="0"/>
        <w:keepLines w:val="0"/>
        <w:pageBreakBefore w:val="0"/>
        <w:widowControl w:val="0"/>
        <w:numPr>
          <w:ilvl w:val="0"/>
          <w:numId w:val="1"/>
        </w:numPr>
        <w:kinsoku/>
        <w:wordWrap/>
        <w:overflowPunct/>
        <w:topLinePunct w:val="0"/>
        <w:autoSpaceDE/>
        <w:autoSpaceDN/>
        <w:bidi w:val="0"/>
        <w:adjustRightInd/>
        <w:snapToGrid/>
        <w:spacing w:line="550" w:lineRule="exact"/>
        <w:ind w:left="0" w:leftChars="0" w:right="0" w:firstLine="640" w:firstLineChars="200"/>
        <w:jc w:val="both"/>
        <w:textAlignment w:val="auto"/>
        <w:outlineLvl w:val="9"/>
        <w:rPr>
          <w:rFonts w:hint="eastAsia" w:ascii="方正黑体_GBK" w:hAnsi="方正黑体_GBK" w:eastAsia="方正黑体_GBK" w:cs="方正黑体_GBK"/>
          <w:b w:val="0"/>
          <w:bCs w:val="0"/>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b w:val="0"/>
          <w:bCs w:val="0"/>
          <w:color w:val="000000" w:themeColor="text1"/>
          <w:sz w:val="32"/>
          <w:szCs w:val="32"/>
          <w:lang w:val="en-US" w:eastAsia="zh-CN"/>
          <w14:textFill>
            <w14:solidFill>
              <w14:schemeClr w14:val="tx1"/>
            </w14:solidFill>
          </w14:textFill>
        </w:rPr>
        <w:t>规定的主要措施</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textAlignment w:val="auto"/>
        <w:rPr>
          <w:rFonts w:hint="eastAsia" w:ascii="宋体" w:hAnsi="宋体" w:eastAsia="方正仿宋_GBK" w:cs="方正仿宋_GBK"/>
          <w:b w:val="0"/>
          <w:bCs w:val="0"/>
          <w:color w:val="000000" w:themeColor="text1"/>
          <w:sz w:val="32"/>
          <w:szCs w:val="32"/>
          <w:lang w:eastAsia="zh-CN"/>
          <w14:textFill>
            <w14:solidFill>
              <w14:schemeClr w14:val="tx1"/>
            </w14:solidFill>
          </w14:textFill>
        </w:rPr>
      </w:pPr>
      <w:r>
        <w:rPr>
          <w:rFonts w:hint="eastAsia" w:ascii="宋体" w:hAnsi="宋体" w:eastAsia="方正仿宋_GBK" w:cs="方正仿宋_GBK"/>
          <w:b w:val="0"/>
          <w:bCs w:val="0"/>
          <w:color w:val="000000" w:themeColor="text1"/>
          <w:sz w:val="32"/>
          <w:szCs w:val="32"/>
          <w:lang w:eastAsia="zh-CN"/>
          <w14:textFill>
            <w14:solidFill>
              <w14:schemeClr w14:val="tx1"/>
            </w14:solidFill>
          </w14:textFill>
        </w:rPr>
        <w:t>《办法》</w:t>
      </w:r>
      <w:r>
        <w:rPr>
          <w:rFonts w:hint="eastAsia" w:ascii="方正仿宋_GBK" w:hAnsi="方正仿宋_GBK" w:eastAsia="方正仿宋_GBK" w:cs="方正仿宋_GBK"/>
          <w:kern w:val="2"/>
          <w:sz w:val="32"/>
          <w:szCs w:val="32"/>
          <w:lang w:val="en-US" w:eastAsia="zh-CN"/>
        </w:rPr>
        <w:t>共六章三十五条内容</w:t>
      </w:r>
      <w:r>
        <w:rPr>
          <w:rFonts w:hint="eastAsia" w:ascii="宋体" w:hAnsi="宋体" w:eastAsia="方正仿宋_GBK" w:cs="方正仿宋_GBK"/>
          <w:b w:val="0"/>
          <w:bCs w:val="0"/>
          <w:color w:val="000000" w:themeColor="text1"/>
          <w:sz w:val="32"/>
          <w:szCs w:val="32"/>
          <w:lang w:eastAsia="zh-CN"/>
          <w14:textFill>
            <w14:solidFill>
              <w14:schemeClr w14:val="tx1"/>
            </w14:solidFill>
          </w14:textFill>
        </w:rPr>
        <w:t>。</w:t>
      </w:r>
    </w:p>
    <w:p>
      <w:pPr>
        <w:pStyle w:val="2"/>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宋体" w:hAnsi="宋体" w:eastAsia="方正仿宋_GBK" w:cs="方正仿宋_GBK"/>
          <w:b w:val="0"/>
          <w:bCs w:val="0"/>
          <w:color w:val="000000" w:themeColor="text1"/>
          <w:sz w:val="32"/>
          <w:szCs w:val="32"/>
          <w:lang w:val="en-US" w:eastAsia="zh-CN"/>
          <w14:textFill>
            <w14:solidFill>
              <w14:schemeClr w14:val="tx1"/>
            </w14:solidFill>
          </w14:textFill>
        </w:rPr>
        <w:t>第一章总则。主要明确了制定</w:t>
      </w:r>
      <w:r>
        <w:rPr>
          <w:rFonts w:hint="eastAsia" w:ascii="宋体" w:hAnsi="宋体" w:eastAsia="方正仿宋_GBK" w:cs="方正仿宋_GBK"/>
          <w:b w:val="0"/>
          <w:bCs w:val="0"/>
          <w:color w:val="000000" w:themeColor="text1"/>
          <w:sz w:val="32"/>
          <w:szCs w:val="32"/>
          <w:lang w:eastAsia="zh-CN"/>
          <w14:textFill>
            <w14:solidFill>
              <w14:schemeClr w14:val="tx1"/>
            </w14:solidFill>
          </w14:textFill>
        </w:rPr>
        <w:t>《办法》的目的意义、</w:t>
      </w:r>
      <w:r>
        <w:rPr>
          <w:rFonts w:hint="eastAsia" w:ascii="方正仿宋_GBK" w:hAnsi="方正仿宋_GBK" w:eastAsia="方正仿宋_GBK" w:cs="方正仿宋_GBK"/>
          <w:b w:val="0"/>
          <w:bCs w:val="0"/>
          <w:kern w:val="2"/>
          <w:sz w:val="32"/>
          <w:szCs w:val="32"/>
          <w:lang w:val="en-US" w:eastAsia="zh-CN" w:bidi="ar-SA"/>
        </w:rPr>
        <w:t>法律法规依据、适用范围，阐明了行政事业性国有资产、资产管理部门、主管部门的概念。</w:t>
      </w:r>
    </w:p>
    <w:p>
      <w:pPr>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宋体" w:hAnsi="宋体" w:eastAsia="方正仿宋_GBK" w:cs="方正仿宋_GBK"/>
          <w:b w:val="0"/>
          <w:bCs w:val="0"/>
          <w:color w:val="000000" w:themeColor="text1"/>
          <w:sz w:val="32"/>
          <w:szCs w:val="32"/>
          <w:lang w:val="en-US" w:eastAsia="zh-CN"/>
          <w14:textFill>
            <w14:solidFill>
              <w14:schemeClr w14:val="tx1"/>
            </w14:solidFill>
          </w14:textFill>
        </w:rPr>
      </w:pPr>
      <w:r>
        <w:rPr>
          <w:rFonts w:hint="eastAsia" w:ascii="宋体" w:hAnsi="宋体" w:eastAsia="方正仿宋_GBK" w:cs="方正仿宋_GBK"/>
          <w:b w:val="0"/>
          <w:bCs w:val="0"/>
          <w:color w:val="000000" w:themeColor="text1"/>
          <w:sz w:val="32"/>
          <w:szCs w:val="32"/>
          <w:lang w:val="en-US" w:eastAsia="zh-CN"/>
          <w14:textFill>
            <w14:solidFill>
              <w14:schemeClr w14:val="tx1"/>
            </w14:solidFill>
          </w14:textFill>
        </w:rPr>
        <w:t>第二章</w:t>
      </w:r>
      <w:r>
        <w:rPr>
          <w:rFonts w:hint="eastAsia" w:ascii="方正仿宋_GBK" w:hAnsi="方正仿宋_GBK" w:eastAsia="方正仿宋_GBK" w:cs="方正仿宋_GBK"/>
          <w:b w:val="0"/>
          <w:bCs w:val="0"/>
          <w:kern w:val="2"/>
          <w:sz w:val="32"/>
          <w:szCs w:val="32"/>
          <w:lang w:val="en-US" w:eastAsia="zh-CN" w:bidi="ar-SA"/>
        </w:rPr>
        <w:t>管理机构职责</w:t>
      </w:r>
      <w:r>
        <w:rPr>
          <w:rFonts w:hint="eastAsia" w:ascii="宋体" w:hAnsi="宋体" w:eastAsia="方正仿宋_GBK" w:cs="方正仿宋_GBK"/>
          <w:b w:val="0"/>
          <w:bCs w:val="0"/>
          <w:color w:val="000000" w:themeColor="text1"/>
          <w:sz w:val="32"/>
          <w:szCs w:val="32"/>
          <w:lang w:val="en-US" w:eastAsia="zh-CN"/>
          <w14:textFill>
            <w14:solidFill>
              <w14:schemeClr w14:val="tx1"/>
            </w14:solidFill>
          </w14:textFill>
        </w:rPr>
        <w:t>。主要明确了</w:t>
      </w:r>
      <w:r>
        <w:rPr>
          <w:rFonts w:hint="eastAsia" w:ascii="方正仿宋_GBK" w:hAnsi="方正仿宋_GBK" w:eastAsia="方正仿宋_GBK" w:cs="方正仿宋_GBK"/>
          <w:kern w:val="2"/>
          <w:sz w:val="32"/>
          <w:szCs w:val="32"/>
          <w:lang w:val="en-US" w:eastAsia="zh-CN"/>
        </w:rPr>
        <w:t>管理机构职责中各主体职责</w:t>
      </w:r>
      <w:r>
        <w:rPr>
          <w:rFonts w:hint="eastAsia" w:ascii="宋体" w:hAnsi="宋体" w:eastAsia="方正仿宋_GBK" w:cs="方正仿宋_GBK"/>
          <w:b w:val="0"/>
          <w:bCs w:val="0"/>
          <w:color w:val="000000" w:themeColor="text1"/>
          <w:sz w:val="32"/>
          <w:szCs w:val="32"/>
          <w:lang w:val="en-US" w:eastAsia="zh-CN"/>
          <w14:textFill>
            <w14:solidFill>
              <w14:schemeClr w14:val="tx1"/>
            </w14:solidFill>
          </w14:textFill>
        </w:rPr>
        <w:t>。</w:t>
      </w:r>
      <w:r>
        <w:rPr>
          <w:rFonts w:hint="eastAsia" w:ascii="方正仿宋_GBK" w:hAnsi="方正仿宋_GBK" w:eastAsia="方正仿宋_GBK" w:cs="方正仿宋_GBK"/>
          <w:kern w:val="2"/>
          <w:sz w:val="32"/>
          <w:szCs w:val="32"/>
          <w:lang w:val="en-US" w:eastAsia="zh-CN"/>
        </w:rPr>
        <w:t>县人民政府应当建立和完善行政事业性国有资产管理机制；县财政局是负责全县行政事业单位国有资产管理的职能部门，代表县人民政府对行政事业单位的国有资产实行综合管理；县政府办根据县人民政府确定的职责负责全县行政单位（含：参公管理事业单位、党委政府直属事业单位）的行政事业国有资产管理具体工作；主管部门负责对本部门所属单位的国有资产实施监督管理；行政事业单位负责对本单位占有、使用和管理的国有资产实施具体管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50" w:lineRule="exact"/>
        <w:ind w:left="660" w:leftChars="0"/>
        <w:textAlignment w:val="auto"/>
        <w:rPr>
          <w:rFonts w:hint="eastAsia" w:ascii="方正仿宋_GBK" w:hAnsi="方正仿宋_GBK" w:eastAsia="方正仿宋_GBK" w:cs="方正仿宋_GBK"/>
          <w:kern w:val="2"/>
          <w:sz w:val="32"/>
          <w:szCs w:val="32"/>
          <w:lang w:val="en-US" w:eastAsia="zh-CN"/>
        </w:rPr>
      </w:pPr>
      <w:r>
        <w:rPr>
          <w:rFonts w:hint="eastAsia" w:ascii="宋体" w:hAnsi="宋体" w:eastAsia="方正仿宋_GBK" w:cs="方正仿宋_GBK"/>
          <w:b w:val="0"/>
          <w:bCs w:val="0"/>
          <w:color w:val="000000" w:themeColor="text1"/>
          <w:sz w:val="32"/>
          <w:szCs w:val="32"/>
          <w:lang w:val="en-US" w:eastAsia="zh-CN"/>
          <w14:textFill>
            <w14:solidFill>
              <w14:schemeClr w14:val="tx1"/>
            </w14:solidFill>
          </w14:textFill>
        </w:rPr>
        <w:t>第三章</w:t>
      </w:r>
      <w:r>
        <w:rPr>
          <w:rFonts w:hint="eastAsia" w:ascii="方正仿宋_GBK" w:hAnsi="方正仿宋_GBK" w:eastAsia="方正仿宋_GBK" w:cs="方正仿宋_GBK"/>
          <w:kern w:val="2"/>
          <w:sz w:val="32"/>
          <w:szCs w:val="32"/>
          <w:lang w:val="en-US" w:eastAsia="zh-CN"/>
        </w:rPr>
        <w:t>配置、使用、处置管理。主要明确了行政事业单位</w:t>
      </w:r>
    </w:p>
    <w:p>
      <w:pPr>
        <w:keepNext w:val="0"/>
        <w:keepLines w:val="0"/>
        <w:pageBreakBefore w:val="0"/>
        <w:widowControl w:val="0"/>
        <w:numPr>
          <w:ilvl w:val="0"/>
          <w:numId w:val="0"/>
        </w:numPr>
        <w:kinsoku/>
        <w:wordWrap/>
        <w:overflowPunct/>
        <w:topLinePunct w:val="0"/>
        <w:autoSpaceDE/>
        <w:autoSpaceDN/>
        <w:bidi w:val="0"/>
        <w:adjustRightInd w:val="0"/>
        <w:snapToGrid w:val="0"/>
        <w:spacing w:line="550" w:lineRule="exact"/>
        <w:textAlignment w:val="auto"/>
        <w:rPr>
          <w:rFonts w:hint="eastAsia" w:ascii="方正仿宋_GBK" w:hAnsi="方正仿宋_GBK" w:eastAsia="方正仿宋_GBK" w:cs="方正仿宋_GBK"/>
          <w:kern w:val="2"/>
          <w:sz w:val="32"/>
          <w:szCs w:val="32"/>
          <w:lang w:val="en-US" w:eastAsia="zh-CN"/>
        </w:rPr>
      </w:pPr>
      <w:r>
        <w:rPr>
          <w:rFonts w:hint="eastAsia" w:ascii="方正仿宋_GBK" w:hAnsi="方正仿宋_GBK" w:eastAsia="方正仿宋_GBK" w:cs="方正仿宋_GBK"/>
          <w:kern w:val="2"/>
          <w:sz w:val="32"/>
          <w:szCs w:val="32"/>
          <w:lang w:val="en-US" w:eastAsia="zh-CN"/>
        </w:rPr>
        <w:t>国有资产配置、使用、处置管理要求。第十一条、第十二条明确了行政事业单位国有资产配置原则及配置标准。第十三至十六条列举了行政事业单位不得违规使用国有资产的情形、国有资产出租程序以及建立盘活机制。第十七至二十一条明确了行政事业性单位国有资产处置原则、处置审批程序、处置审批权限，列举了处置中应当进行资产评估、划转、交接手续的情形。第二十二条要求行政事业单位实行备案制度。</w:t>
      </w:r>
    </w:p>
    <w:p>
      <w:pPr>
        <w:pStyle w:val="7"/>
        <w:pageBreakBefore w:val="0"/>
        <w:widowControl w:val="0"/>
        <w:kinsoku/>
        <w:wordWrap/>
        <w:overflowPunct/>
        <w:topLinePunct w:val="0"/>
        <w:autoSpaceDE/>
        <w:autoSpaceDN/>
        <w:bidi w:val="0"/>
        <w:adjustRightInd w:val="0"/>
        <w:snapToGrid w:val="0"/>
        <w:spacing w:before="0" w:beforeAutospacing="0" w:after="0" w:afterAutospacing="0" w:line="550" w:lineRule="exact"/>
        <w:ind w:firstLine="645"/>
        <w:jc w:val="both"/>
        <w:textAlignment w:val="auto"/>
        <w:rPr>
          <w:rFonts w:hint="default" w:ascii="方正仿宋_GBK" w:hAnsi="方正仿宋_GBK" w:eastAsia="方正仿宋_GBK" w:cs="方正仿宋_GBK"/>
          <w:kern w:val="2"/>
          <w:sz w:val="32"/>
          <w:szCs w:val="32"/>
          <w:lang w:val="en-US" w:eastAsia="zh-CN"/>
        </w:rPr>
      </w:pPr>
      <w:r>
        <w:rPr>
          <w:rFonts w:hint="eastAsia" w:ascii="宋体" w:hAnsi="宋体" w:eastAsia="方正仿宋_GBK" w:cs="方正仿宋_GBK"/>
          <w:b w:val="0"/>
          <w:bCs w:val="0"/>
          <w:color w:val="000000" w:themeColor="text1"/>
          <w:sz w:val="32"/>
          <w:szCs w:val="32"/>
          <w:lang w:val="en-US" w:eastAsia="zh-CN"/>
          <w14:textFill>
            <w14:solidFill>
              <w14:schemeClr w14:val="tx1"/>
            </w14:solidFill>
          </w14:textFill>
        </w:rPr>
        <w:t>第四章</w:t>
      </w:r>
      <w:r>
        <w:rPr>
          <w:rFonts w:hint="eastAsia" w:ascii="方正仿宋_GBK" w:hAnsi="方正仿宋_GBK" w:eastAsia="方正仿宋_GBK" w:cs="方正仿宋_GBK"/>
          <w:kern w:val="2"/>
          <w:sz w:val="32"/>
          <w:szCs w:val="32"/>
          <w:lang w:val="en-US" w:eastAsia="zh-CN"/>
        </w:rPr>
        <w:t>预算及基础管理。主要明确了行政事业单位购置资产预算及资产处置收益、公共基础设施入账、资产管理责任制、资产清查等国有资产基础管理工作。第二十三条、第二十四条明确了行政事业单位资产购置预算要求、处置收益处理。第二十五条明确了各主体建设公共基础设施要求按规定入账。第二十六条明确了资产管理要建立资产管理岗位责任制，资产使用人、管理人发生变动时，应及时进行资产的移交、盘点等工作，实现行政事业性国有资产的动态管理。第二十七条明确了行政事业单位对资产进行盘点、对账，对资产数据及相关账务进行校准和调整，做到账实相符和账账相符。第二十八条明确了资产清查要履行审批程序。</w:t>
      </w:r>
    </w:p>
    <w:p>
      <w:pPr>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eastAsia" w:ascii="宋体" w:hAnsi="宋体" w:eastAsia="方正仿宋_GBK" w:cs="方正仿宋_GBK"/>
          <w:b w:val="0"/>
          <w:bCs w:val="0"/>
          <w:color w:val="000000" w:themeColor="text1"/>
          <w:sz w:val="32"/>
          <w:szCs w:val="32"/>
          <w:lang w:val="en-US" w:eastAsia="zh-CN"/>
          <w14:textFill>
            <w14:solidFill>
              <w14:schemeClr w14:val="tx1"/>
            </w14:solidFill>
          </w14:textFill>
        </w:rPr>
      </w:pPr>
      <w:r>
        <w:rPr>
          <w:rFonts w:hint="eastAsia" w:ascii="宋体" w:hAnsi="宋体" w:eastAsia="方正仿宋_GBK" w:cs="方正仿宋_GBK"/>
          <w:b w:val="0"/>
          <w:bCs w:val="0"/>
          <w:color w:val="000000" w:themeColor="text1"/>
          <w:sz w:val="32"/>
          <w:szCs w:val="32"/>
          <w:lang w:val="en-US" w:eastAsia="zh-CN"/>
          <w14:textFill>
            <w14:solidFill>
              <w14:schemeClr w14:val="tx1"/>
            </w14:solidFill>
          </w14:textFill>
        </w:rPr>
        <w:t>第五章</w:t>
      </w:r>
      <w:r>
        <w:rPr>
          <w:rFonts w:hint="eastAsia" w:ascii="宋体" w:hAnsi="宋体" w:eastAsia="方正仿宋_GBK" w:cs="方正仿宋_GBK"/>
          <w:b w:val="0"/>
          <w:bCs w:val="0"/>
          <w:color w:val="000000" w:themeColor="text1"/>
          <w:sz w:val="32"/>
          <w:szCs w:val="32"/>
          <w14:textFill>
            <w14:solidFill>
              <w14:schemeClr w14:val="tx1"/>
            </w14:solidFill>
          </w14:textFill>
        </w:rPr>
        <w:t>监督管理</w:t>
      </w:r>
      <w:r>
        <w:rPr>
          <w:rFonts w:hint="eastAsia" w:ascii="宋体" w:hAnsi="宋体" w:eastAsia="方正仿宋_GBK" w:cs="方正仿宋_GBK"/>
          <w:b w:val="0"/>
          <w:bCs w:val="0"/>
          <w:color w:val="000000" w:themeColor="text1"/>
          <w:sz w:val="32"/>
          <w:szCs w:val="32"/>
          <w:lang w:val="en-US" w:eastAsia="zh-CN"/>
          <w14:textFill>
            <w14:solidFill>
              <w14:schemeClr w14:val="tx1"/>
            </w14:solidFill>
          </w14:textFill>
        </w:rPr>
        <w:t>。一是</w:t>
      </w:r>
      <w:r>
        <w:rPr>
          <w:rFonts w:hint="eastAsia" w:ascii="方正仿宋_GBK" w:hAnsi="方正仿宋_GBK" w:eastAsia="方正仿宋_GBK" w:cs="方正仿宋_GBK"/>
          <w:kern w:val="2"/>
          <w:sz w:val="32"/>
          <w:szCs w:val="32"/>
          <w:lang w:val="en-US" w:eastAsia="zh-CN"/>
        </w:rPr>
        <w:t>县人民政府应当接受本级人民代表大会及其常务委员会对行政事业性国有资产管理情况的监督；二是县人民政府资产管理部门应当对本级行政事业性国有资产管理情况进行监督检查，县人民政府国有资产管理的年度综合报告的方式及编制部门；三是审计部门依法对行政事业性国有资产管理情况进行审计监督；四是主管部门应当加强对行政事业性国有资产管理全过程的监管。</w:t>
      </w:r>
    </w:p>
    <w:p>
      <w:pPr>
        <w:pageBreakBefore w:val="0"/>
        <w:widowControl w:val="0"/>
        <w:kinsoku/>
        <w:wordWrap/>
        <w:overflowPunct/>
        <w:topLinePunct w:val="0"/>
        <w:autoSpaceDE/>
        <w:autoSpaceDN/>
        <w:bidi w:val="0"/>
        <w:adjustRightInd/>
        <w:snapToGrid/>
        <w:spacing w:line="550" w:lineRule="exact"/>
        <w:ind w:firstLine="640"/>
        <w:textAlignment w:val="auto"/>
        <w:rPr>
          <w:rFonts w:hint="eastAsia" w:ascii="宋体" w:hAnsi="宋体" w:eastAsia="仿宋_GB2312" w:cs="方正仿宋_GBK"/>
          <w:b w:val="0"/>
          <w:bCs w:val="0"/>
          <w:color w:val="000000" w:themeColor="text1"/>
          <w:sz w:val="32"/>
          <w:szCs w:val="32"/>
          <w:lang w:val="en-US" w:eastAsia="zh-CN"/>
          <w14:textFill>
            <w14:solidFill>
              <w14:schemeClr w14:val="tx1"/>
            </w14:solidFill>
          </w14:textFill>
        </w:rPr>
      </w:pPr>
      <w:r>
        <w:rPr>
          <w:rFonts w:hint="eastAsia" w:ascii="宋体" w:hAnsi="宋体" w:eastAsia="方正仿宋_GBK" w:cs="方正仿宋_GBK"/>
          <w:b w:val="0"/>
          <w:bCs w:val="0"/>
          <w:color w:val="000000" w:themeColor="text1"/>
          <w:sz w:val="32"/>
          <w:szCs w:val="32"/>
          <w:lang w:val="en-US" w:eastAsia="zh-CN"/>
          <w14:textFill>
            <w14:solidFill>
              <w14:schemeClr w14:val="tx1"/>
            </w14:solidFill>
          </w14:textFill>
        </w:rPr>
        <w:t>第六章附则。</w:t>
      </w:r>
      <w:r>
        <w:rPr>
          <w:rFonts w:hint="eastAsia" w:ascii="方正仿宋_GBK" w:hAnsi="方正仿宋_GBK" w:eastAsia="方正仿宋_GBK" w:cs="方正仿宋_GBK"/>
          <w:kern w:val="2"/>
          <w:sz w:val="32"/>
          <w:szCs w:val="32"/>
          <w:lang w:val="en-US" w:eastAsia="zh-CN"/>
        </w:rPr>
        <w:t>明确了《办法》的未尽事宜及发布时间，该《办法》施行后需要县财政局等部门按照职责另行制定行政事业单位国有资产配置、使用、处置的具体管理办法。</w:t>
      </w:r>
    </w:p>
    <w:p>
      <w:pPr>
        <w:keepNext w:val="0"/>
        <w:keepLines w:val="0"/>
        <w:pageBreakBefore w:val="0"/>
        <w:widowControl w:val="0"/>
        <w:numPr>
          <w:ilvl w:val="0"/>
          <w:numId w:val="1"/>
        </w:numPr>
        <w:kinsoku/>
        <w:wordWrap/>
        <w:overflowPunct/>
        <w:topLinePunct w:val="0"/>
        <w:autoSpaceDE/>
        <w:autoSpaceDN/>
        <w:bidi w:val="0"/>
        <w:adjustRightInd/>
        <w:snapToGrid/>
        <w:spacing w:line="550" w:lineRule="exact"/>
        <w:ind w:left="0" w:leftChars="0" w:right="0" w:firstLine="640" w:firstLineChars="200"/>
        <w:jc w:val="both"/>
        <w:textAlignment w:val="auto"/>
        <w:outlineLvl w:val="9"/>
        <w:rPr>
          <w:rFonts w:hint="eastAsia" w:ascii="方正黑体_GBK" w:hAnsi="方正黑体_GBK" w:eastAsia="方正黑体_GBK" w:cs="方正黑体_GBK"/>
          <w:b w:val="0"/>
          <w:bCs w:val="0"/>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b w:val="0"/>
          <w:bCs w:val="0"/>
          <w:color w:val="000000" w:themeColor="text1"/>
          <w:sz w:val="32"/>
          <w:szCs w:val="32"/>
          <w:lang w:val="en-US" w:eastAsia="zh-CN"/>
          <w14:textFill>
            <w14:solidFill>
              <w14:schemeClr w14:val="tx1"/>
            </w14:solidFill>
          </w14:textFill>
        </w:rPr>
        <w:t>文件制定程序说明</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leftChars="0" w:right="0" w:firstLine="640" w:firstLineChars="200"/>
        <w:jc w:val="both"/>
        <w:textAlignment w:val="auto"/>
        <w:outlineLvl w:val="9"/>
        <w:rPr>
          <w:rFonts w:hint="eastAsia" w:ascii="宋体" w:hAnsi="宋体" w:eastAsia="方正仿宋_GBK" w:cs="方正仿宋_GBK"/>
          <w:b w:val="0"/>
          <w:bCs w:val="0"/>
          <w:color w:val="000000" w:themeColor="text1"/>
          <w:sz w:val="32"/>
          <w:szCs w:val="32"/>
          <w:lang w:val="en-US" w:eastAsia="zh-CN"/>
          <w14:textFill>
            <w14:solidFill>
              <w14:schemeClr w14:val="tx1"/>
            </w14:solidFill>
          </w14:textFill>
        </w:rPr>
      </w:pPr>
      <w:r>
        <w:rPr>
          <w:rFonts w:hint="eastAsia" w:ascii="宋体" w:hAnsi="宋体" w:eastAsia="方正仿宋_GBK" w:cs="方正仿宋_GBK"/>
          <w:b w:val="0"/>
          <w:bCs w:val="0"/>
          <w:color w:val="000000" w:themeColor="text1"/>
          <w:sz w:val="32"/>
          <w:szCs w:val="32"/>
          <w:lang w:val="en-US" w:eastAsia="zh-CN"/>
          <w14:textFill>
            <w14:solidFill>
              <w14:schemeClr w14:val="tx1"/>
            </w14:solidFill>
          </w14:textFill>
        </w:rPr>
        <w:t>《办法》制定过程我县严格按照规范性文件制定要求，认真开展了起草调研、公开征求意见、合法性审查、集体讨论决定、登记编号、向社会公布等工作。</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leftChars="0" w:right="0" w:firstLine="640" w:firstLineChars="200"/>
        <w:jc w:val="both"/>
        <w:textAlignment w:val="auto"/>
        <w:outlineLvl w:val="9"/>
        <w:rPr>
          <w:rFonts w:hint="eastAsia" w:ascii="宋体" w:hAnsi="宋体"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楷体_GBK" w:hAnsi="方正楷体_GBK" w:eastAsia="方正楷体_GBK" w:cs="方正楷体_GBK"/>
          <w:b w:val="0"/>
          <w:bCs w:val="0"/>
          <w:color w:val="000000" w:themeColor="text1"/>
          <w:sz w:val="32"/>
          <w:szCs w:val="32"/>
          <w:lang w:val="en-US" w:eastAsia="zh-CN"/>
          <w14:textFill>
            <w14:solidFill>
              <w14:schemeClr w14:val="tx1"/>
            </w14:solidFill>
          </w14:textFill>
        </w:rPr>
        <w:t>（一）起草调研。</w:t>
      </w:r>
      <w:r>
        <w:rPr>
          <w:rFonts w:hint="eastAsia" w:ascii="宋体" w:hAnsi="宋体" w:eastAsia="方正仿宋_GBK" w:cs="方正仿宋_GBK"/>
          <w:b w:val="0"/>
          <w:bCs w:val="0"/>
          <w:color w:val="000000" w:themeColor="text1"/>
          <w:sz w:val="32"/>
          <w:szCs w:val="32"/>
          <w:lang w:val="en-US" w:eastAsia="zh-CN"/>
          <w14:textFill>
            <w14:solidFill>
              <w14:schemeClr w14:val="tx1"/>
            </w14:solidFill>
          </w14:textFill>
        </w:rPr>
        <w:t>为规范和加强鹤庆县行政事业性国有资产管理和监督，维护国有资产安全完整，提高国有资产的使用效率，进一步转变职能、简政放权、优化资源配置，更好地保障行政事业单位有效运转和高效履职工作，县财政局认真开展了调研，2022年7月对</w:t>
      </w:r>
      <w:r>
        <w:rPr>
          <w:rFonts w:hint="eastAsia" w:ascii="仿宋" w:hAnsi="仿宋" w:eastAsia="仿宋" w:cs="仿宋"/>
          <w:color w:val="000000"/>
          <w:sz w:val="32"/>
          <w:szCs w:val="32"/>
          <w:lang w:val="en-US" w:eastAsia="zh-CN"/>
        </w:rPr>
        <w:t>各</w:t>
      </w:r>
      <w:r>
        <w:rPr>
          <w:rFonts w:hint="eastAsia" w:ascii="宋体" w:hAnsi="宋体" w:eastAsia="方正仿宋_GBK" w:cs="方正仿宋_GBK"/>
          <w:b w:val="0"/>
          <w:bCs w:val="0"/>
          <w:color w:val="000000" w:themeColor="text1"/>
          <w:sz w:val="32"/>
          <w:szCs w:val="32"/>
          <w:lang w:val="en-US" w:eastAsia="zh-CN"/>
          <w14:textFill>
            <w14:solidFill>
              <w14:schemeClr w14:val="tx1"/>
            </w14:solidFill>
          </w14:textFill>
        </w:rPr>
        <w:t>乡镇人民政府、县级各预算单位开展了《问卷调查》，由县财政局起草了</w:t>
      </w:r>
      <w:r>
        <w:rPr>
          <w:rFonts w:hint="eastAsia" w:ascii="宋体" w:hAnsi="宋体" w:eastAsia="方正仿宋_GBK" w:cs="方正仿宋_GBK"/>
          <w:b w:val="0"/>
          <w:bCs w:val="0"/>
          <w:color w:val="000000" w:themeColor="text1"/>
          <w:sz w:val="32"/>
          <w:szCs w:val="32"/>
          <w:lang w:eastAsia="zh-CN"/>
          <w14:textFill>
            <w14:solidFill>
              <w14:schemeClr w14:val="tx1"/>
            </w14:solidFill>
          </w14:textFill>
        </w:rPr>
        <w:t>《</w:t>
      </w:r>
      <w:r>
        <w:rPr>
          <w:rFonts w:hint="eastAsia" w:ascii="宋体" w:hAnsi="宋体" w:eastAsia="方正仿宋_GBK" w:cs="方正仿宋_GBK"/>
          <w:b w:val="0"/>
          <w:bCs w:val="0"/>
          <w:color w:val="000000" w:themeColor="text1"/>
          <w:kern w:val="44"/>
          <w:sz w:val="32"/>
          <w:szCs w:val="32"/>
          <w:lang w:val="en-US" w:eastAsia="zh-CN" w:bidi="ar-SA"/>
          <w14:textFill>
            <w14:solidFill>
              <w14:schemeClr w14:val="tx1"/>
            </w14:solidFill>
          </w14:textFill>
        </w:rPr>
        <w:t>鹤庆县行政事业性国有资产管理办法</w:t>
      </w:r>
      <w:r>
        <w:rPr>
          <w:rFonts w:hint="eastAsia" w:ascii="宋体" w:hAnsi="宋体" w:eastAsia="方正仿宋_GBK" w:cs="方正仿宋_GBK"/>
          <w:b w:val="0"/>
          <w:bCs w:val="0"/>
          <w:color w:val="000000" w:themeColor="text1"/>
          <w:sz w:val="32"/>
          <w:szCs w:val="32"/>
          <w:lang w:eastAsia="zh-CN"/>
          <w14:textFill>
            <w14:solidFill>
              <w14:schemeClr w14:val="tx1"/>
            </w14:solidFill>
          </w14:textFill>
        </w:rPr>
        <w:t>》初稿，县</w:t>
      </w:r>
      <w:r>
        <w:rPr>
          <w:rFonts w:hint="eastAsia" w:ascii="宋体" w:hAnsi="宋体" w:eastAsia="方正仿宋_GBK" w:cs="方正仿宋_GBK"/>
          <w:b w:val="0"/>
          <w:bCs w:val="0"/>
          <w:color w:val="000000" w:themeColor="text1"/>
          <w:sz w:val="32"/>
          <w:szCs w:val="32"/>
          <w:lang w:val="en-US" w:eastAsia="zh-CN"/>
          <w14:textFill>
            <w14:solidFill>
              <w14:schemeClr w14:val="tx1"/>
            </w14:solidFill>
          </w14:textFill>
        </w:rPr>
        <w:t>财政</w:t>
      </w:r>
      <w:r>
        <w:rPr>
          <w:rFonts w:hint="eastAsia" w:ascii="宋体" w:hAnsi="宋体" w:eastAsia="方正仿宋_GBK" w:cs="方正仿宋_GBK"/>
          <w:b w:val="0"/>
          <w:bCs w:val="0"/>
          <w:color w:val="000000" w:themeColor="text1"/>
          <w:sz w:val="32"/>
          <w:szCs w:val="32"/>
          <w:lang w:eastAsia="zh-CN"/>
          <w14:textFill>
            <w14:solidFill>
              <w14:schemeClr w14:val="tx1"/>
            </w14:solidFill>
          </w14:textFill>
        </w:rPr>
        <w:t>局召开了局务会</w:t>
      </w:r>
      <w:r>
        <w:rPr>
          <w:rFonts w:hint="eastAsia" w:ascii="宋体" w:hAnsi="宋体" w:eastAsia="方正仿宋_GBK" w:cs="方正仿宋_GBK"/>
          <w:b w:val="0"/>
          <w:bCs w:val="0"/>
          <w:color w:val="000000" w:themeColor="text1"/>
          <w:sz w:val="32"/>
          <w:szCs w:val="32"/>
          <w:lang w:val="en-US" w:eastAsia="zh-CN"/>
          <w14:textFill>
            <w14:solidFill>
              <w14:schemeClr w14:val="tx1"/>
            </w14:solidFill>
          </w14:textFill>
        </w:rPr>
        <w:t>进行了认真讨论研究，对《办法》进行了修改完善。</w:t>
      </w:r>
    </w:p>
    <w:p>
      <w:pPr>
        <w:pStyle w:val="2"/>
        <w:pageBreakBefore w:val="0"/>
        <w:widowControl w:val="0"/>
        <w:numPr>
          <w:ilvl w:val="0"/>
          <w:numId w:val="0"/>
        </w:numPr>
        <w:kinsoku/>
        <w:wordWrap/>
        <w:overflowPunct/>
        <w:topLinePunct w:val="0"/>
        <w:autoSpaceDE/>
        <w:autoSpaceDN/>
        <w:bidi w:val="0"/>
        <w:adjustRightInd/>
        <w:snapToGrid/>
        <w:spacing w:line="550" w:lineRule="exact"/>
        <w:ind w:leftChars="0" w:firstLine="640" w:firstLineChars="200"/>
        <w:jc w:val="both"/>
        <w:textAlignment w:val="auto"/>
        <w:rPr>
          <w:rFonts w:hint="eastAsia" w:ascii="宋体" w:hAnsi="宋体" w:eastAsia="方正仿宋_GBK" w:cs="方正仿宋_GBK"/>
          <w:b w:val="0"/>
          <w:bCs w:val="0"/>
          <w:color w:val="000000" w:themeColor="text1"/>
          <w:kern w:val="44"/>
          <w:sz w:val="32"/>
          <w:szCs w:val="32"/>
          <w:lang w:val="en-US" w:eastAsia="zh-CN" w:bidi="ar-SA"/>
          <w14:textFill>
            <w14:solidFill>
              <w14:schemeClr w14:val="tx1"/>
            </w14:solidFill>
          </w14:textFill>
        </w:rPr>
      </w:pPr>
      <w:r>
        <w:rPr>
          <w:rFonts w:hint="eastAsia" w:ascii="方正楷体_GBK" w:hAnsi="方正楷体_GBK" w:eastAsia="方正楷体_GBK" w:cs="方正楷体_GBK"/>
          <w:b w:val="0"/>
          <w:bCs w:val="0"/>
          <w:color w:val="000000" w:themeColor="text1"/>
          <w:sz w:val="32"/>
          <w:szCs w:val="32"/>
          <w:lang w:val="en-US" w:eastAsia="zh-CN"/>
          <w14:textFill>
            <w14:solidFill>
              <w14:schemeClr w14:val="tx1"/>
            </w14:solidFill>
          </w14:textFill>
        </w:rPr>
        <w:t>（二）公开征求意见。</w:t>
      </w:r>
      <w:r>
        <w:rPr>
          <w:rFonts w:hint="eastAsia" w:ascii="宋体" w:hAnsi="宋体" w:eastAsia="方正仿宋_GBK" w:cs="方正仿宋_GBK"/>
          <w:b w:val="0"/>
          <w:bCs w:val="0"/>
          <w:color w:val="000000" w:themeColor="text1"/>
          <w:sz w:val="32"/>
          <w:szCs w:val="32"/>
          <w:lang w:eastAsia="zh-CN"/>
          <w14:textFill>
            <w14:solidFill>
              <w14:schemeClr w14:val="tx1"/>
            </w14:solidFill>
          </w14:textFill>
        </w:rPr>
        <w:t>《</w:t>
      </w:r>
      <w:r>
        <w:rPr>
          <w:rFonts w:hint="eastAsia" w:ascii="宋体" w:hAnsi="宋体" w:eastAsia="方正仿宋_GBK" w:cs="方正仿宋_GBK"/>
          <w:b w:val="0"/>
          <w:bCs w:val="0"/>
          <w:color w:val="000000" w:themeColor="text1"/>
          <w:kern w:val="44"/>
          <w:sz w:val="32"/>
          <w:szCs w:val="32"/>
          <w:lang w:val="en-US" w:eastAsia="zh-CN" w:bidi="ar-SA"/>
          <w14:textFill>
            <w14:solidFill>
              <w14:schemeClr w14:val="tx1"/>
            </w14:solidFill>
          </w14:textFill>
        </w:rPr>
        <w:t>鹤庆县行政事业性国有资产管理办法</w:t>
      </w:r>
      <w:r>
        <w:rPr>
          <w:rFonts w:hint="eastAsia" w:ascii="宋体" w:hAnsi="宋体" w:eastAsia="方正仿宋_GBK" w:cs="方正仿宋_GBK"/>
          <w:b w:val="0"/>
          <w:bCs w:val="0"/>
          <w:color w:val="000000" w:themeColor="text1"/>
          <w:sz w:val="32"/>
          <w:szCs w:val="32"/>
          <w:lang w:eastAsia="zh-CN"/>
          <w14:textFill>
            <w14:solidFill>
              <w14:schemeClr w14:val="tx1"/>
            </w14:solidFill>
          </w14:textFill>
        </w:rPr>
        <w:t>》初稿形成后，</w:t>
      </w:r>
      <w:r>
        <w:rPr>
          <w:rFonts w:hint="eastAsia" w:ascii="宋体" w:hAnsi="宋体" w:eastAsia="方正仿宋_GBK" w:cs="方正仿宋_GBK"/>
          <w:b w:val="0"/>
          <w:bCs w:val="0"/>
          <w:color w:val="000000" w:themeColor="text1"/>
          <w:kern w:val="44"/>
          <w:sz w:val="32"/>
          <w:szCs w:val="32"/>
          <w:lang w:val="en-US" w:eastAsia="zh-CN" w:bidi="ar-SA"/>
          <w14:textFill>
            <w14:solidFill>
              <w14:schemeClr w14:val="tx1"/>
            </w14:solidFill>
          </w14:textFill>
        </w:rPr>
        <w:t>向社会及各乡镇人民政府、县级各预算单位等相关部门广泛征求意见，根据各单位反馈的意见进一步修改完善了《办法》。</w:t>
      </w:r>
    </w:p>
    <w:p>
      <w:pPr>
        <w:pageBreakBefore w:val="0"/>
        <w:widowControl w:val="0"/>
        <w:numPr>
          <w:ilvl w:val="0"/>
          <w:numId w:val="0"/>
        </w:numPr>
        <w:kinsoku/>
        <w:wordWrap/>
        <w:overflowPunct/>
        <w:topLinePunct w:val="0"/>
        <w:autoSpaceDE/>
        <w:autoSpaceDN/>
        <w:bidi w:val="0"/>
        <w:adjustRightInd/>
        <w:snapToGrid/>
        <w:spacing w:line="550" w:lineRule="exact"/>
        <w:ind w:leftChars="0" w:firstLine="640" w:firstLineChars="200"/>
        <w:textAlignment w:val="auto"/>
        <w:rPr>
          <w:rFonts w:hint="eastAsia" w:ascii="宋体" w:hAnsi="宋体"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楷体_GBK" w:hAnsi="方正楷体_GBK" w:eastAsia="方正楷体_GBK" w:cs="方正楷体_GBK"/>
          <w:b w:val="0"/>
          <w:bCs w:val="0"/>
          <w:color w:val="000000" w:themeColor="text1"/>
          <w:sz w:val="32"/>
          <w:szCs w:val="32"/>
          <w:lang w:val="en-US" w:eastAsia="zh-CN"/>
          <w14:textFill>
            <w14:solidFill>
              <w14:schemeClr w14:val="tx1"/>
            </w14:solidFill>
          </w14:textFill>
        </w:rPr>
        <w:t>（三）专家论证。</w:t>
      </w:r>
      <w:r>
        <w:rPr>
          <w:rFonts w:hint="eastAsia" w:ascii="宋体" w:hAnsi="宋体" w:eastAsia="方正仿宋_GBK" w:cs="方正仿宋_GBK"/>
          <w:b w:val="0"/>
          <w:bCs w:val="0"/>
          <w:color w:val="000000" w:themeColor="text1"/>
          <w:kern w:val="44"/>
          <w:sz w:val="32"/>
          <w:szCs w:val="32"/>
          <w:lang w:val="en-US" w:eastAsia="zh-CN" w:bidi="ar-SA"/>
          <w14:textFill>
            <w14:solidFill>
              <w14:schemeClr w14:val="tx1"/>
            </w14:solidFill>
          </w14:textFill>
        </w:rPr>
        <w:t>2022 年7月28日，县财政局组织县政府办、县司法局、县教育体育局、县公安局、县人民医院一名领导或专家，县财政局资产管理股等股室有关人员对《办法》进行了专家论证会，通过</w:t>
      </w:r>
      <w:r>
        <w:rPr>
          <w:rFonts w:hint="eastAsia" w:ascii="宋体" w:hAnsi="宋体" w:eastAsia="方正仿宋_GBK" w:cs="方正仿宋_GBK"/>
          <w:b w:val="0"/>
          <w:bCs w:val="0"/>
          <w:color w:val="000000" w:themeColor="text1"/>
          <w:sz w:val="32"/>
          <w:szCs w:val="32"/>
          <w:lang w:val="en-US" w:eastAsia="zh-CN"/>
          <w14:textFill>
            <w14:solidFill>
              <w14:schemeClr w14:val="tx1"/>
            </w14:solidFill>
          </w14:textFill>
        </w:rPr>
        <w:t>专家论证后，县政府办建议将第二十条“（四）一次性批量处置资产原值总计在200万元（含）以上的行政事业性单位国有资产处置事项”中200万元调整为100万元，并明确机关事务管理部门为县政府办；县教育体育局建议根据《行政事业性国有资产管理条例》《云南省人民政府办公厅关于印发云南省行政事业单位国有资产管理办法的通知》</w:t>
      </w:r>
      <w:r>
        <w:rPr>
          <w:rFonts w:hint="eastAsia" w:ascii="Times New Roman" w:hAnsi="Times New Roman" w:eastAsia="方正仿宋_GBK" w:cs="Times New Roman"/>
          <w:sz w:val="32"/>
          <w:szCs w:val="32"/>
          <w:lang w:val="en-US" w:eastAsia="zh-CN"/>
        </w:rPr>
        <w:t>（云政办规〔2020〕3号）</w:t>
      </w:r>
      <w:r>
        <w:rPr>
          <w:rFonts w:hint="eastAsia" w:ascii="宋体" w:hAnsi="宋体" w:eastAsia="方正仿宋_GBK" w:cs="方正仿宋_GBK"/>
          <w:b w:val="0"/>
          <w:bCs w:val="0"/>
          <w:color w:val="000000" w:themeColor="text1"/>
          <w:sz w:val="32"/>
          <w:szCs w:val="32"/>
          <w:lang w:val="en-US" w:eastAsia="zh-CN"/>
          <w14:textFill>
            <w14:solidFill>
              <w14:schemeClr w14:val="tx1"/>
            </w14:solidFill>
          </w14:textFill>
        </w:rPr>
        <w:t>《大理白族自治州人民政府关于印发大理州行政事业性国有资产管理办法的通知》</w:t>
      </w:r>
      <w:r>
        <w:rPr>
          <w:rFonts w:hint="eastAsia" w:ascii="Times New Roman" w:hAnsi="Times New Roman" w:eastAsia="方正仿宋_GBK" w:cs="Times New Roman"/>
          <w:sz w:val="32"/>
          <w:szCs w:val="32"/>
          <w:lang w:val="en-US" w:eastAsia="zh-CN"/>
        </w:rPr>
        <w:t>（大政规〔2021〕5号）</w:t>
      </w:r>
      <w:r>
        <w:rPr>
          <w:rFonts w:hint="eastAsia" w:ascii="宋体" w:hAnsi="宋体" w:eastAsia="方正仿宋_GBK" w:cs="方正仿宋_GBK"/>
          <w:b w:val="0"/>
          <w:bCs w:val="0"/>
          <w:color w:val="000000" w:themeColor="text1"/>
          <w:sz w:val="32"/>
          <w:szCs w:val="32"/>
          <w:lang w:val="en-US" w:eastAsia="zh-CN"/>
          <w14:textFill>
            <w14:solidFill>
              <w14:schemeClr w14:val="tx1"/>
            </w14:solidFill>
          </w14:textFill>
        </w:rPr>
        <w:t>，要求鹤庆县行政事业性国有资产管理办法报审稿作细节的修改和具体化；县财政局资产管理股建议文本中第三十二条中“乡镇级行政事业性国有资产管理办法由同级政府参照本办法执行”取消。以上意见建议均已采纳，并作修改。</w:t>
      </w:r>
    </w:p>
    <w:p>
      <w:pPr>
        <w:pageBreakBefore w:val="0"/>
        <w:widowControl w:val="0"/>
        <w:numPr>
          <w:ilvl w:val="0"/>
          <w:numId w:val="0"/>
        </w:numPr>
        <w:kinsoku/>
        <w:wordWrap/>
        <w:overflowPunct/>
        <w:topLinePunct w:val="0"/>
        <w:autoSpaceDE/>
        <w:autoSpaceDN/>
        <w:bidi w:val="0"/>
        <w:adjustRightInd/>
        <w:snapToGrid/>
        <w:spacing w:line="550" w:lineRule="exact"/>
        <w:ind w:leftChars="0" w:firstLine="640" w:firstLineChars="200"/>
        <w:textAlignment w:val="auto"/>
        <w:rPr>
          <w:rFonts w:hint="eastAsia" w:ascii="宋体" w:hAnsi="宋体"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楷体_GBK" w:hAnsi="方正楷体_GBK" w:eastAsia="方正楷体_GBK" w:cs="方正楷体_GBK"/>
          <w:b w:val="0"/>
          <w:bCs w:val="0"/>
          <w:color w:val="000000" w:themeColor="text1"/>
          <w:sz w:val="32"/>
          <w:szCs w:val="32"/>
          <w:lang w:val="en-US" w:eastAsia="zh-CN"/>
          <w14:textFill>
            <w14:solidFill>
              <w14:schemeClr w14:val="tx1"/>
            </w14:solidFill>
          </w14:textFill>
        </w:rPr>
        <w:t>（四）合法性审查。</w:t>
      </w:r>
      <w:r>
        <w:rPr>
          <w:rFonts w:hint="eastAsia" w:ascii="宋体" w:hAnsi="宋体" w:eastAsia="方正仿宋_GBK" w:cs="方正仿宋_GBK"/>
          <w:b w:val="0"/>
          <w:bCs w:val="0"/>
          <w:color w:val="000000" w:themeColor="text1"/>
          <w:sz w:val="32"/>
          <w:szCs w:val="32"/>
          <w:lang w:val="en-US" w:eastAsia="zh-CN"/>
          <w14:textFill>
            <w14:solidFill>
              <w14:schemeClr w14:val="tx1"/>
            </w14:solidFill>
          </w14:textFill>
        </w:rPr>
        <w:t>县司法局对《办法》送审稿进行了合法性审查。通过审查《办法》制定主体和期限合法，制定的依据、内容和程序合法。</w:t>
      </w:r>
    </w:p>
    <w:p>
      <w:pPr>
        <w:pageBreakBefore w:val="0"/>
        <w:widowControl w:val="0"/>
        <w:numPr>
          <w:ilvl w:val="0"/>
          <w:numId w:val="0"/>
        </w:numPr>
        <w:kinsoku/>
        <w:wordWrap/>
        <w:overflowPunct/>
        <w:topLinePunct w:val="0"/>
        <w:autoSpaceDE/>
        <w:autoSpaceDN/>
        <w:bidi w:val="0"/>
        <w:adjustRightInd/>
        <w:snapToGrid/>
        <w:spacing w:line="550" w:lineRule="exact"/>
        <w:ind w:leftChars="0" w:firstLine="640" w:firstLineChars="200"/>
        <w:textAlignment w:val="auto"/>
        <w:rPr>
          <w:rFonts w:hint="eastAsia" w:ascii="方正楷体_GBK" w:hAnsi="方正楷体_GBK" w:eastAsia="方正楷体_GBK" w:cs="方正楷体_GBK"/>
          <w:b w:val="0"/>
          <w:bCs w:val="0"/>
          <w:color w:val="000000" w:themeColor="text1"/>
          <w:sz w:val="32"/>
          <w:szCs w:val="32"/>
          <w:lang w:val="en-US" w:eastAsia="zh-CN"/>
          <w14:textFill>
            <w14:solidFill>
              <w14:schemeClr w14:val="tx1"/>
            </w14:solidFill>
          </w14:textFill>
        </w:rPr>
      </w:pPr>
      <w:r>
        <w:rPr>
          <w:rFonts w:hint="eastAsia" w:ascii="方正楷体_GBK" w:hAnsi="方正楷体_GBK" w:eastAsia="方正楷体_GBK" w:cs="方正楷体_GBK"/>
          <w:b w:val="0"/>
          <w:bCs w:val="0"/>
          <w:color w:val="000000" w:themeColor="text1"/>
          <w:sz w:val="32"/>
          <w:szCs w:val="32"/>
          <w:lang w:val="en-US" w:eastAsia="zh-CN"/>
          <w14:textFill>
            <w14:solidFill>
              <w14:schemeClr w14:val="tx1"/>
            </w14:solidFill>
          </w14:textFill>
        </w:rPr>
        <w:t>（五）重大决策程序。</w:t>
      </w:r>
      <w:r>
        <w:rPr>
          <w:rFonts w:hint="eastAsia" w:ascii="宋体" w:hAnsi="宋体" w:eastAsia="方正仿宋_GBK" w:cs="方正仿宋_GBK"/>
          <w:b w:val="0"/>
          <w:bCs w:val="0"/>
          <w:color w:val="000000" w:themeColor="text1"/>
          <w:sz w:val="32"/>
          <w:szCs w:val="32"/>
          <w:lang w:val="en-US" w:eastAsia="zh-CN"/>
          <w14:textFill>
            <w14:solidFill>
              <w14:schemeClr w14:val="tx1"/>
            </w14:solidFill>
          </w14:textFill>
        </w:rPr>
        <w:t>合法性审查后，经鹤庆县十八届人民政府第18次常务会议及十三届县委第56次常委会会议审议通过。</w:t>
      </w:r>
    </w:p>
    <w:p>
      <w:pPr>
        <w:pageBreakBefore w:val="0"/>
        <w:widowControl w:val="0"/>
        <w:numPr>
          <w:ilvl w:val="0"/>
          <w:numId w:val="0"/>
        </w:numPr>
        <w:kinsoku/>
        <w:wordWrap/>
        <w:overflowPunct/>
        <w:topLinePunct w:val="0"/>
        <w:autoSpaceDE/>
        <w:autoSpaceDN/>
        <w:bidi w:val="0"/>
        <w:adjustRightInd/>
        <w:snapToGrid/>
        <w:spacing w:line="550" w:lineRule="exact"/>
        <w:ind w:left="0" w:leftChars="0" w:firstLine="640" w:firstLineChars="200"/>
        <w:textAlignment w:val="auto"/>
        <w:rPr>
          <w:rFonts w:hint="eastAsia" w:ascii="宋体" w:hAnsi="宋体" w:eastAsia="方正仿宋_GBK" w:cs="方正仿宋_GBK"/>
          <w:b w:val="0"/>
          <w:bCs w:val="0"/>
          <w:color w:val="000000" w:themeColor="text1"/>
          <w:sz w:val="32"/>
          <w:szCs w:val="32"/>
          <w:lang w:val="en-US" w:eastAsia="zh-CN"/>
          <w14:textFill>
            <w14:solidFill>
              <w14:schemeClr w14:val="tx1"/>
            </w14:solidFill>
          </w14:textFill>
        </w:rPr>
      </w:pPr>
      <w:r>
        <w:rPr>
          <w:rFonts w:hint="eastAsia" w:ascii="方正楷体_GBK" w:hAnsi="方正楷体_GBK" w:eastAsia="方正楷体_GBK" w:cs="方正楷体_GBK"/>
          <w:b w:val="0"/>
          <w:bCs w:val="0"/>
          <w:color w:val="000000" w:themeColor="text1"/>
          <w:sz w:val="32"/>
          <w:szCs w:val="32"/>
          <w:lang w:val="en-US" w:eastAsia="zh-CN"/>
          <w14:textFill>
            <w14:solidFill>
              <w14:schemeClr w14:val="tx1"/>
            </w14:solidFill>
          </w14:textFill>
        </w:rPr>
        <w:t>（六）登记编号。</w:t>
      </w:r>
      <w:r>
        <w:rPr>
          <w:rFonts w:hint="eastAsia" w:ascii="宋体" w:hAnsi="宋体" w:eastAsia="方正仿宋_GBK" w:cs="方正仿宋_GBK"/>
          <w:b w:val="0"/>
          <w:bCs w:val="0"/>
          <w:color w:val="000000" w:themeColor="text1"/>
          <w:sz w:val="32"/>
          <w:szCs w:val="32"/>
          <w:lang w:val="en-US" w:eastAsia="zh-CN"/>
          <w14:textFill>
            <w14:solidFill>
              <w14:schemeClr w14:val="tx1"/>
            </w14:solidFill>
          </w14:textFill>
        </w:rPr>
        <w:t>经集体讨论决定同意发布后，县人民政府按照规范性文件“三统一”制度，以</w:t>
      </w:r>
      <w:r>
        <w:rPr>
          <w:rFonts w:hint="eastAsia" w:ascii="宋体" w:hAnsi="宋体" w:eastAsia="方正仿宋_GBK" w:cs="方正仿宋_GBK"/>
          <w:b w:val="0"/>
          <w:bCs w:val="0"/>
          <w:color w:val="000000" w:themeColor="text1"/>
          <w:sz w:val="32"/>
          <w:szCs w:val="32"/>
          <w:lang w:eastAsia="zh-CN"/>
          <w14:textFill>
            <w14:solidFill>
              <w14:schemeClr w14:val="tx1"/>
            </w14:solidFill>
          </w14:textFill>
        </w:rPr>
        <w:t>鹤政规</w:t>
      </w:r>
      <w:r>
        <w:rPr>
          <w:rFonts w:hint="eastAsia" w:ascii="宋体" w:hAnsi="宋体" w:eastAsia="方正仿宋简体" w:cs="方正仿宋简体"/>
          <w:b w:val="0"/>
          <w:bCs w:val="0"/>
          <w:color w:val="000000" w:themeColor="text1"/>
          <w:sz w:val="32"/>
          <w:szCs w:val="32"/>
          <w:lang w:eastAsia="zh-CN"/>
          <w14:textFill>
            <w14:solidFill>
              <w14:schemeClr w14:val="tx1"/>
            </w14:solidFill>
          </w14:textFill>
        </w:rPr>
        <w:t>〔</w:t>
      </w:r>
      <w:r>
        <w:rPr>
          <w:rFonts w:hint="eastAsia" w:ascii="宋体" w:hAnsi="宋体" w:eastAsia="方正仿宋_GBK" w:cs="方正仿宋_GBK"/>
          <w:b w:val="0"/>
          <w:bCs w:val="0"/>
          <w:color w:val="000000" w:themeColor="text1"/>
          <w:sz w:val="32"/>
          <w:szCs w:val="32"/>
          <w:lang w:val="en-US" w:eastAsia="zh-CN"/>
          <w14:textFill>
            <w14:solidFill>
              <w14:schemeClr w14:val="tx1"/>
            </w14:solidFill>
          </w14:textFill>
        </w:rPr>
        <w:t>2022</w:t>
      </w:r>
      <w:r>
        <w:rPr>
          <w:rFonts w:hint="eastAsia" w:ascii="宋体" w:hAnsi="宋体" w:eastAsia="方正仿宋简体" w:cs="方正仿宋简体"/>
          <w:b w:val="0"/>
          <w:bCs w:val="0"/>
          <w:color w:val="000000" w:themeColor="text1"/>
          <w:sz w:val="32"/>
          <w:szCs w:val="32"/>
          <w:lang w:eastAsia="zh-CN"/>
          <w14:textFill>
            <w14:solidFill>
              <w14:schemeClr w14:val="tx1"/>
            </w14:solidFill>
          </w14:textFill>
        </w:rPr>
        <w:t>〕</w:t>
      </w:r>
      <w:r>
        <w:rPr>
          <w:rFonts w:hint="eastAsia" w:ascii="宋体" w:hAnsi="宋体" w:eastAsia="方正仿宋简体" w:cs="方正仿宋简体"/>
          <w:b w:val="0"/>
          <w:bCs w:val="0"/>
          <w:color w:val="000000" w:themeColor="text1"/>
          <w:sz w:val="32"/>
          <w:szCs w:val="32"/>
          <w:lang w:val="en-US" w:eastAsia="zh-CN"/>
          <w14:textFill>
            <w14:solidFill>
              <w14:schemeClr w14:val="tx1"/>
            </w14:solidFill>
          </w14:textFill>
        </w:rPr>
        <w:t>4</w:t>
      </w:r>
      <w:r>
        <w:rPr>
          <w:rFonts w:hint="eastAsia" w:ascii="宋体" w:hAnsi="宋体" w:eastAsia="方正仿宋_GBK" w:cs="方正仿宋_GBK"/>
          <w:b w:val="0"/>
          <w:bCs w:val="0"/>
          <w:color w:val="000000" w:themeColor="text1"/>
          <w:sz w:val="32"/>
          <w:szCs w:val="32"/>
          <w:lang w:val="en-US" w:eastAsia="zh-CN"/>
          <w14:textFill>
            <w14:solidFill>
              <w14:schemeClr w14:val="tx1"/>
            </w14:solidFill>
          </w14:textFill>
        </w:rPr>
        <w:t>号对《办法》进行了统一登记编号。</w:t>
      </w:r>
    </w:p>
    <w:p>
      <w:pPr>
        <w:keepNext w:val="0"/>
        <w:keepLines w:val="0"/>
        <w:pageBreakBefore w:val="0"/>
        <w:widowControl w:val="0"/>
        <w:numPr>
          <w:ilvl w:val="0"/>
          <w:numId w:val="1"/>
        </w:numPr>
        <w:kinsoku/>
        <w:wordWrap/>
        <w:overflowPunct/>
        <w:topLinePunct w:val="0"/>
        <w:autoSpaceDE/>
        <w:autoSpaceDN/>
        <w:bidi w:val="0"/>
        <w:adjustRightInd/>
        <w:snapToGrid/>
        <w:spacing w:line="550" w:lineRule="exact"/>
        <w:ind w:left="0" w:leftChars="0" w:right="0" w:firstLine="640" w:firstLineChars="200"/>
        <w:jc w:val="both"/>
        <w:textAlignment w:val="auto"/>
        <w:outlineLvl w:val="9"/>
        <w:rPr>
          <w:rFonts w:hint="eastAsia" w:ascii="方正黑体_GBK" w:hAnsi="方正黑体_GBK" w:eastAsia="方正黑体_GBK" w:cs="方正黑体_GBK"/>
          <w:b w:val="0"/>
          <w:bCs w:val="0"/>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b w:val="0"/>
          <w:bCs w:val="0"/>
          <w:color w:val="000000" w:themeColor="text1"/>
          <w:sz w:val="32"/>
          <w:szCs w:val="32"/>
          <w:lang w:val="en-US" w:eastAsia="zh-CN"/>
          <w14:textFill>
            <w14:solidFill>
              <w14:schemeClr w14:val="tx1"/>
            </w14:solidFill>
          </w14:textFill>
        </w:rPr>
        <w:t>文件试行日期及有效期说明</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right="0" w:firstLine="640" w:firstLineChars="200"/>
        <w:jc w:val="both"/>
        <w:textAlignment w:val="auto"/>
        <w:outlineLvl w:val="9"/>
        <w:rPr>
          <w:rFonts w:hint="eastAsia" w:ascii="宋体" w:hAnsi="宋体" w:eastAsia="方正仿宋_GBK" w:cs="方正仿宋_GBK"/>
          <w:b w:val="0"/>
          <w:bCs w:val="0"/>
          <w:color w:val="000000" w:themeColor="text1"/>
          <w:sz w:val="32"/>
          <w:szCs w:val="32"/>
          <w:lang w:val="en-US" w:eastAsia="zh-CN"/>
          <w14:textFill>
            <w14:solidFill>
              <w14:schemeClr w14:val="tx1"/>
            </w14:solidFill>
          </w14:textFill>
        </w:rPr>
      </w:pPr>
      <w:r>
        <w:rPr>
          <w:rFonts w:hint="eastAsia" w:ascii="宋体" w:hAnsi="宋体" w:eastAsia="方正仿宋_GBK" w:cs="方正仿宋_GBK"/>
          <w:b w:val="0"/>
          <w:bCs w:val="0"/>
          <w:color w:val="000000" w:themeColor="text1"/>
          <w:sz w:val="32"/>
          <w:szCs w:val="32"/>
          <w:lang w:val="en-US" w:eastAsia="zh-CN"/>
          <w14:textFill>
            <w14:solidFill>
              <w14:schemeClr w14:val="tx1"/>
            </w14:solidFill>
          </w14:textFill>
        </w:rPr>
        <w:t>《办法》公布日期是2022年9月9日，实施日期是2022年10月10日有效期为5年。</w:t>
      </w:r>
    </w:p>
    <w:p>
      <w:pPr>
        <w:pageBreakBefore w:val="0"/>
        <w:widowControl w:val="0"/>
        <w:kinsoku/>
        <w:wordWrap/>
        <w:overflowPunct/>
        <w:topLinePunct w:val="0"/>
        <w:autoSpaceDE/>
        <w:autoSpaceDN/>
        <w:bidi w:val="0"/>
        <w:adjustRightInd/>
        <w:snapToGrid/>
        <w:spacing w:line="550" w:lineRule="exact"/>
        <w:ind w:left="0"/>
        <w:textAlignment w:val="auto"/>
        <w:rPr>
          <w:rFonts w:hint="eastAsia" w:ascii="宋体" w:hAnsi="宋体" w:eastAsia="方正仿宋_GBK" w:cs="方正仿宋_GBK"/>
          <w:b w:val="0"/>
          <w:bCs w:val="0"/>
          <w:color w:val="000000" w:themeColor="text1"/>
          <w:sz w:val="32"/>
          <w:szCs w:val="32"/>
          <w14:textFill>
            <w14:solidFill>
              <w14:schemeClr w14:val="tx1"/>
            </w14:solidFill>
          </w14:textFill>
        </w:rPr>
      </w:pPr>
      <w:bookmarkStart w:id="0" w:name="_GoBack"/>
      <w:bookmarkEnd w:id="0"/>
    </w:p>
    <w:sectPr>
      <w:footerReference r:id="rId3" w:type="default"/>
      <w:pgSz w:w="11906" w:h="16838"/>
      <w:pgMar w:top="2098" w:right="1474" w:bottom="1984" w:left="1587" w:header="851" w:footer="1644"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BEFD8"/>
    <w:multiLevelType w:val="singleLevel"/>
    <w:tmpl w:val="5F1BEFD8"/>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5MWM2NzkyNWJhOTEzNGFlOGM0NTQ5MDI1NTdiZjcifQ=="/>
  </w:docVars>
  <w:rsids>
    <w:rsidRoot w:val="725B1128"/>
    <w:rsid w:val="00135135"/>
    <w:rsid w:val="003A67DB"/>
    <w:rsid w:val="005B7C79"/>
    <w:rsid w:val="011F4AD8"/>
    <w:rsid w:val="02E25239"/>
    <w:rsid w:val="030119FC"/>
    <w:rsid w:val="04CF7A91"/>
    <w:rsid w:val="04FE4606"/>
    <w:rsid w:val="063C23F9"/>
    <w:rsid w:val="077961C6"/>
    <w:rsid w:val="082F2D28"/>
    <w:rsid w:val="0966003D"/>
    <w:rsid w:val="097665EE"/>
    <w:rsid w:val="09A432A2"/>
    <w:rsid w:val="09EB2C7F"/>
    <w:rsid w:val="09F71624"/>
    <w:rsid w:val="0A3E36F7"/>
    <w:rsid w:val="0BBA0B5B"/>
    <w:rsid w:val="0C6B48A7"/>
    <w:rsid w:val="0E592364"/>
    <w:rsid w:val="0FF241AB"/>
    <w:rsid w:val="10207B26"/>
    <w:rsid w:val="108E4FD3"/>
    <w:rsid w:val="11B5470C"/>
    <w:rsid w:val="166E7112"/>
    <w:rsid w:val="185C25DA"/>
    <w:rsid w:val="1D0F6990"/>
    <w:rsid w:val="1D7F01E3"/>
    <w:rsid w:val="1F3C62E1"/>
    <w:rsid w:val="200F7270"/>
    <w:rsid w:val="211014F1"/>
    <w:rsid w:val="22EB5DF5"/>
    <w:rsid w:val="235B27CC"/>
    <w:rsid w:val="246A716A"/>
    <w:rsid w:val="25F018F1"/>
    <w:rsid w:val="26515D8C"/>
    <w:rsid w:val="2C2E3BF8"/>
    <w:rsid w:val="2C4E6A44"/>
    <w:rsid w:val="2EA95922"/>
    <w:rsid w:val="30006BD5"/>
    <w:rsid w:val="3236570D"/>
    <w:rsid w:val="36B83D65"/>
    <w:rsid w:val="393F5DD1"/>
    <w:rsid w:val="399F3937"/>
    <w:rsid w:val="3AE96BE3"/>
    <w:rsid w:val="3BAF103B"/>
    <w:rsid w:val="3BB379F6"/>
    <w:rsid w:val="3D583BAC"/>
    <w:rsid w:val="3ECD05CA"/>
    <w:rsid w:val="41F43D77"/>
    <w:rsid w:val="42EB3D10"/>
    <w:rsid w:val="43FE2A77"/>
    <w:rsid w:val="462A61E3"/>
    <w:rsid w:val="46F72BD4"/>
    <w:rsid w:val="47B83114"/>
    <w:rsid w:val="49EF513B"/>
    <w:rsid w:val="4B3F08B1"/>
    <w:rsid w:val="4B7F49FA"/>
    <w:rsid w:val="4B932C7D"/>
    <w:rsid w:val="4BDB4306"/>
    <w:rsid w:val="4E2F5A71"/>
    <w:rsid w:val="51087240"/>
    <w:rsid w:val="52EB7C70"/>
    <w:rsid w:val="542B571F"/>
    <w:rsid w:val="56D17C19"/>
    <w:rsid w:val="56F6210C"/>
    <w:rsid w:val="58B038B4"/>
    <w:rsid w:val="58DC5E7C"/>
    <w:rsid w:val="595362D3"/>
    <w:rsid w:val="59E474A1"/>
    <w:rsid w:val="5A177392"/>
    <w:rsid w:val="5A1F62B3"/>
    <w:rsid w:val="5B4546B8"/>
    <w:rsid w:val="5B870FDB"/>
    <w:rsid w:val="5DD45079"/>
    <w:rsid w:val="5E473A9D"/>
    <w:rsid w:val="5F113FB8"/>
    <w:rsid w:val="5F182D44"/>
    <w:rsid w:val="5F8513F4"/>
    <w:rsid w:val="615742B1"/>
    <w:rsid w:val="6170414B"/>
    <w:rsid w:val="63FD40CB"/>
    <w:rsid w:val="6416482E"/>
    <w:rsid w:val="646B3569"/>
    <w:rsid w:val="65B871FE"/>
    <w:rsid w:val="66FF506E"/>
    <w:rsid w:val="67204E8B"/>
    <w:rsid w:val="6A317848"/>
    <w:rsid w:val="6A5A534C"/>
    <w:rsid w:val="6AD2139C"/>
    <w:rsid w:val="6BD34BC2"/>
    <w:rsid w:val="6C6A6303"/>
    <w:rsid w:val="6E7004A6"/>
    <w:rsid w:val="715A71EC"/>
    <w:rsid w:val="71BD55A7"/>
    <w:rsid w:val="725B1128"/>
    <w:rsid w:val="764D2AF5"/>
    <w:rsid w:val="776D7CB7"/>
    <w:rsid w:val="77A86A77"/>
    <w:rsid w:val="78AC657F"/>
    <w:rsid w:val="7931357A"/>
    <w:rsid w:val="7AE00762"/>
    <w:rsid w:val="7CEC1640"/>
    <w:rsid w:val="7D3935CB"/>
    <w:rsid w:val="7D4D27E2"/>
    <w:rsid w:val="7E924469"/>
    <w:rsid w:val="7EA01A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spacing w:line="240" w:lineRule="atLeast"/>
      <w:jc w:val="center"/>
      <w:outlineLvl w:val="0"/>
    </w:pPr>
    <w:rPr>
      <w:rFonts w:ascii="Times New Roman" w:hAnsi="Times New Roman"/>
      <w:b/>
      <w:bCs/>
      <w:kern w:val="44"/>
      <w:sz w:val="36"/>
      <w:szCs w:val="44"/>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Body Text"/>
    <w:basedOn w:val="1"/>
    <w:next w:val="4"/>
    <w:unhideWhenUsed/>
    <w:qFormat/>
    <w:uiPriority w:val="99"/>
    <w:pPr>
      <w:widowControl w:val="0"/>
      <w:spacing w:after="120" w:afterLines="0" w:afterAutospacing="0"/>
      <w:jc w:val="both"/>
    </w:pPr>
    <w:rPr>
      <w:rFonts w:ascii="Times New Roman" w:hAnsi="Times New Roman" w:eastAsia="方正仿宋_GBK" w:cs="Times New Roman"/>
      <w:kern w:val="2"/>
      <w:sz w:val="32"/>
      <w:szCs w:val="24"/>
      <w:lang w:val="en-US" w:eastAsia="zh-CN" w:bidi="ar-SA"/>
    </w:rPr>
  </w:style>
  <w:style w:type="paragraph" w:styleId="4">
    <w:name w:val="toc 5"/>
    <w:basedOn w:val="1"/>
    <w:next w:val="1"/>
    <w:qFormat/>
    <w:uiPriority w:val="0"/>
    <w:pPr>
      <w:ind w:left="1680" w:leftChars="800"/>
    </w:pPr>
    <w:rPr>
      <w:rFonts w:ascii="Times New Roman" w:hAnsi="Times New Roman" w:eastAsia="宋体" w:cs="Times New Roman"/>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0" w:after="0" w:afterAutospacing="0"/>
      <w:ind w:left="0" w:right="0"/>
      <w:jc w:val="left"/>
    </w:pPr>
    <w:rPr>
      <w:kern w:val="0"/>
      <w:sz w:val="24"/>
      <w:lang w:val="en-US" w:eastAsia="zh-CN" w:bidi="ar"/>
    </w:rPr>
  </w:style>
  <w:style w:type="paragraph" w:styleId="8">
    <w:name w:val="Body Text First Indent"/>
    <w:basedOn w:val="3"/>
    <w:qFormat/>
    <w:uiPriority w:val="0"/>
    <w:pPr>
      <w:spacing w:line="240" w:lineRule="auto"/>
      <w:ind w:firstLine="420"/>
    </w:pPr>
    <w:rPr>
      <w:rFonts w:ascii="Calibri" w:hAnsi="Calibri" w:eastAsia="宋体"/>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大理州鹤庆县党政机关单位</Company>
  <Pages>5</Pages>
  <Words>2364</Words>
  <Characters>2405</Characters>
  <Lines>0</Lines>
  <Paragraphs>0</Paragraphs>
  <TotalTime>10</TotalTime>
  <ScaleCrop>false</ScaleCrop>
  <LinksUpToDate>false</LinksUpToDate>
  <CharactersWithSpaces>2406</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2022-03-02T00:29:00Z</dcterms:created>
  <dc:creator>Administrator</dc:creator>
  <cp:lastModifiedBy>Administrator</cp:lastModifiedBy>
  <cp:lastPrinted>2022-09-20T08:04:00Z</cp:lastPrinted>
  <dcterms:modified xsi:type="dcterms:W3CDTF">2024-03-01T02:50:13Z</dcterms:modified>
  <dc:title>关于《鹤庆县农村集体经营性建设用地入市</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8D0DB1CFC9E748C783B6E41AFD99AA40</vt:lpwstr>
  </property>
</Properties>
</file>