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</w:p>
    <w:p>
      <w:pPr>
        <w:tabs>
          <w:tab w:val="left" w:pos="4515"/>
        </w:tabs>
        <w:jc w:val="center"/>
        <w:rPr>
          <w:rFonts w:ascii="方正小标宋简体" w:eastAsia="方正小标宋简体" w:cs="Times New Roman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鹤庆县人民政府决定取消的</w:t>
      </w:r>
      <w:r>
        <w:rPr>
          <w:rFonts w:ascii="方正小标宋简体" w:eastAsia="方正小标宋简体" w:cs="方正小标宋简体"/>
          <w:sz w:val="32"/>
          <w:szCs w:val="32"/>
        </w:rPr>
        <w:t>3</w:t>
      </w:r>
      <w:r>
        <w:rPr>
          <w:rFonts w:hint="eastAsia" w:ascii="方正小标宋简体" w:eastAsia="方正小标宋简体" w:cs="方正小标宋简体"/>
          <w:sz w:val="32"/>
          <w:szCs w:val="32"/>
        </w:rPr>
        <w:t>项行政许可事项</w:t>
      </w:r>
    </w:p>
    <w:tbl>
      <w:tblPr>
        <w:tblStyle w:val="4"/>
        <w:tblW w:w="1417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41"/>
        <w:gridCol w:w="1785"/>
        <w:gridCol w:w="2835"/>
        <w:gridCol w:w="1260"/>
        <w:gridCol w:w="367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</w:tcPr>
          <w:p>
            <w:pPr>
              <w:rPr>
                <w:rFonts w:ascii="方正黑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序号</w:t>
            </w:r>
          </w:p>
        </w:tc>
        <w:tc>
          <w:tcPr>
            <w:tcW w:w="2441" w:type="dxa"/>
          </w:tcPr>
          <w:p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事项名称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审批实施部门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设立依据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调整方式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加强事中事后监管措施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典当业特种行业许可证核发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县公安局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《国务院对确需保留的行政审批项目设定行政许可的决定》《典当管理办法》《云南省人民政府关于调整</w:t>
            </w:r>
            <w:r>
              <w:rPr>
                <w:rFonts w:ascii="方正仿宋_GBK" w:eastAsia="方正仿宋_GBK" w:cs="方正仿宋_GBK"/>
              </w:rPr>
              <w:t>112</w:t>
            </w:r>
            <w:r>
              <w:rPr>
                <w:rFonts w:hint="eastAsia" w:ascii="方正仿宋_GBK" w:eastAsia="方正仿宋_GBK" w:cs="方正仿宋_GBK"/>
              </w:rPr>
              <w:t>项涉及州级及以下行政权力事项的决定》（云政发〔</w:t>
            </w:r>
            <w:r>
              <w:rPr>
                <w:rFonts w:ascii="方正仿宋_GBK" w:eastAsia="方正仿宋_GBK" w:cs="方正仿宋_GBK"/>
              </w:rPr>
              <w:t>2020</w:t>
            </w:r>
            <w:r>
              <w:rPr>
                <w:rFonts w:hint="eastAsia" w:ascii="方正仿宋_GBK" w:eastAsia="方正仿宋_GBK" w:cs="方正仿宋_GBK"/>
              </w:rPr>
              <w:t>〕</w:t>
            </w:r>
            <w:r>
              <w:rPr>
                <w:rFonts w:ascii="方正仿宋_GBK" w:eastAsia="方正仿宋_GBK" w:cs="方正仿宋_GBK"/>
              </w:rPr>
              <w:t>21</w:t>
            </w:r>
            <w:r>
              <w:rPr>
                <w:rFonts w:hint="eastAsia" w:ascii="方正仿宋_GBK" w:eastAsia="方正仿宋_GBK" w:cs="方正仿宋_GBK"/>
              </w:rPr>
              <w:t>号）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取消</w:t>
            </w:r>
          </w:p>
        </w:tc>
        <w:tc>
          <w:tcPr>
            <w:tcW w:w="3675" w:type="dxa"/>
            <w:vAlign w:val="center"/>
          </w:tcPr>
          <w:p>
            <w:pPr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取消许可后，公安机关和有关部门要通过</w:t>
            </w:r>
            <w:r>
              <w:rPr>
                <w:rFonts w:ascii="方正仿宋_GBK" w:eastAsia="方正仿宋_GBK" w:cs="方正仿宋_GBK"/>
              </w:rPr>
              <w:t xml:space="preserve"> </w:t>
            </w:r>
            <w:r>
              <w:rPr>
                <w:rFonts w:hint="eastAsia" w:ascii="方正仿宋_GBK" w:eastAsia="方正仿宋_GBK" w:cs="方正仿宋_GBK"/>
              </w:rPr>
              <w:t>“双随机、一公开”监管等方式，加强对典当行的治安管理，及时化解风险隐患，发现违法犯罪活动要依法查处。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方正仿宋_GBK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外国人进入自然保护区审批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县林草局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《中华人民共和国自然保护区条例》《云南省人民政府关于调整</w:t>
            </w:r>
            <w:r>
              <w:rPr>
                <w:rFonts w:ascii="方正仿宋_GBK" w:eastAsia="方正仿宋_GBK" w:cs="方正仿宋_GBK"/>
              </w:rPr>
              <w:t>482</w:t>
            </w:r>
            <w:r>
              <w:rPr>
                <w:rFonts w:hint="eastAsia" w:ascii="方正仿宋_GBK" w:eastAsia="方正仿宋_GBK" w:cs="方正仿宋_GBK"/>
              </w:rPr>
              <w:t>项涉及省级行政权力事项的决定》（云政发〔</w:t>
            </w:r>
            <w:r>
              <w:rPr>
                <w:rFonts w:ascii="方正仿宋_GBK" w:eastAsia="方正仿宋_GBK" w:cs="方正仿宋_GBK"/>
              </w:rPr>
              <w:t>2020</w:t>
            </w:r>
            <w:r>
              <w:rPr>
                <w:rFonts w:hint="eastAsia" w:ascii="方正仿宋_GBK" w:eastAsia="方正仿宋_GBK" w:cs="方正仿宋_GBK"/>
              </w:rPr>
              <w:t>〕</w:t>
            </w:r>
            <w:r>
              <w:rPr>
                <w:rFonts w:ascii="方正仿宋_GBK" w:eastAsia="方正仿宋_GBK" w:cs="方正仿宋_GBK"/>
              </w:rPr>
              <w:t>16</w:t>
            </w:r>
            <w:r>
              <w:rPr>
                <w:rFonts w:hint="eastAsia" w:ascii="方正仿宋_GBK" w:eastAsia="方正仿宋_GBK" w:cs="方正仿宋_GBK"/>
              </w:rPr>
              <w:t>号）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取消</w:t>
            </w:r>
          </w:p>
        </w:tc>
        <w:tc>
          <w:tcPr>
            <w:tcW w:w="3675" w:type="dxa"/>
            <w:vAlign w:val="center"/>
          </w:tcPr>
          <w:p>
            <w:pPr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取消许可后，林草部门要通过以下措施加强监管：</w:t>
            </w:r>
            <w:r>
              <w:rPr>
                <w:rFonts w:ascii="方正仿宋_GBK" w:eastAsia="方正仿宋_GBK" w:cs="方正仿宋_GBK"/>
              </w:rPr>
              <w:t>1.</w:t>
            </w:r>
            <w:r>
              <w:rPr>
                <w:rFonts w:hint="eastAsia" w:ascii="方正仿宋_GBK" w:eastAsia="方正仿宋_GBK" w:cs="方正仿宋_GBK"/>
              </w:rPr>
              <w:t>加强对自然保护区的日常监管，指导自然保护区管理机构对进入保护区的外国人加强管理。发现违法违规行为要依法查处并向社会公开结果，发现涉嫌犯罪活动要及时移送司法机关处理；</w:t>
            </w:r>
            <w:r>
              <w:rPr>
                <w:rFonts w:ascii="方正仿宋_GBK" w:eastAsia="方正仿宋_GBK" w:cs="方正仿宋_GBK"/>
              </w:rPr>
              <w:t>2.</w:t>
            </w:r>
            <w:r>
              <w:rPr>
                <w:rFonts w:hint="eastAsia" w:ascii="方正仿宋_GBK" w:eastAsia="方正仿宋_GBK" w:cs="方正仿宋_GBK"/>
              </w:rPr>
              <w:t>严格实施猎捕野生动物、采伐或采集野生植物、出口野生动植物及其产品等方面的许可管理，防止资源流失。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方正仿宋_GBK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序号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事项名称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审批实施部门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设立依据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调整方式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加强事中事后监管措施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医疗机构设置审批（含港澳台）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县卫健局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《医疗机构管理条例》《国务院关于取消和下放</w:t>
            </w:r>
            <w:r>
              <w:rPr>
                <w:rFonts w:ascii="方正仿宋_GBK" w:eastAsia="方正仿宋_GBK" w:cs="方正仿宋_GBK"/>
              </w:rPr>
              <w:t>50</w:t>
            </w:r>
            <w:r>
              <w:rPr>
                <w:rFonts w:hint="eastAsia" w:ascii="方正仿宋_GBK" w:eastAsia="方正仿宋_GBK" w:cs="方正仿宋_GBK"/>
              </w:rPr>
              <w:t>项行政审批项目等事项的决定》（国发〔</w:t>
            </w:r>
            <w:r>
              <w:rPr>
                <w:rFonts w:ascii="方正仿宋_GBK" w:eastAsia="方正仿宋_GBK" w:cs="方正仿宋_GBK"/>
              </w:rPr>
              <w:t>2013</w:t>
            </w:r>
            <w:r>
              <w:rPr>
                <w:rFonts w:hint="eastAsia" w:ascii="方正仿宋_GBK" w:eastAsia="方正仿宋_GBK" w:cs="方正仿宋_GBK"/>
              </w:rPr>
              <w:t>〕</w:t>
            </w:r>
            <w:r>
              <w:rPr>
                <w:rFonts w:ascii="方正仿宋_GBK" w:eastAsia="方正仿宋_GBK" w:cs="方正仿宋_GBK"/>
              </w:rPr>
              <w:t>27</w:t>
            </w:r>
            <w:r>
              <w:rPr>
                <w:rFonts w:hint="eastAsia" w:ascii="方正仿宋_GBK" w:eastAsia="方正仿宋_GBK" w:cs="方正仿宋_GBK"/>
              </w:rPr>
              <w:t>号）《云南省人民政府关于赋予昆明市行使部分省级行政职权的决定》（云政发〔</w:t>
            </w:r>
            <w:r>
              <w:rPr>
                <w:rFonts w:ascii="方正仿宋_GBK" w:eastAsia="方正仿宋_GBK" w:cs="方正仿宋_GBK"/>
              </w:rPr>
              <w:t>2018</w:t>
            </w:r>
            <w:r>
              <w:rPr>
                <w:rFonts w:hint="eastAsia" w:ascii="方正仿宋_GBK" w:eastAsia="方正仿宋_GBK" w:cs="方正仿宋_GBK"/>
              </w:rPr>
              <w:t>〕</w:t>
            </w:r>
            <w:r>
              <w:rPr>
                <w:rFonts w:ascii="方正仿宋_GBK" w:eastAsia="方正仿宋_GBK" w:cs="方正仿宋_GBK"/>
              </w:rPr>
              <w:t>36</w:t>
            </w:r>
            <w:r>
              <w:rPr>
                <w:rFonts w:hint="eastAsia" w:ascii="方正仿宋_GBK" w:eastAsia="方正仿宋_GBK" w:cs="方正仿宋_GBK"/>
              </w:rPr>
              <w:t>号）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部分取消。除三级医院、三级妇幼保健院、急救中心、临床检验中心、中外合资合作医疗机构、港澳台独资医疗医院外，其余医疗机构不再核发《设置医疗机构批准书》</w:t>
            </w:r>
          </w:p>
        </w:tc>
        <w:tc>
          <w:tcPr>
            <w:tcW w:w="3675" w:type="dxa"/>
            <w:vAlign w:val="center"/>
          </w:tcPr>
          <w:p>
            <w:pPr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部分取消许可后，卫生健康部门要通过以下措施加强监管：</w:t>
            </w:r>
            <w:r>
              <w:rPr>
                <w:rFonts w:ascii="方正仿宋_GBK" w:eastAsia="方正仿宋_GBK" w:cs="方正仿宋_GBK"/>
              </w:rPr>
              <w:t>1.</w:t>
            </w:r>
            <w:r>
              <w:rPr>
                <w:rFonts w:hint="eastAsia" w:ascii="方正仿宋_GBK" w:eastAsia="方正仿宋_GBK" w:cs="方正仿宋_GBK"/>
              </w:rPr>
              <w:t>完善医疗机构设置规划方式，对社会办医疗机构实行指导性规划。加强对社会资本投资医疗机构的服务，同时注意防止以服务之名行审批之实；</w:t>
            </w:r>
            <w:r>
              <w:rPr>
                <w:rFonts w:ascii="方正仿宋_GBK" w:eastAsia="方正仿宋_GBK" w:cs="方正仿宋_GBK"/>
              </w:rPr>
              <w:t>2.</w:t>
            </w:r>
            <w:r>
              <w:rPr>
                <w:rFonts w:hint="eastAsia" w:ascii="方正仿宋_GBK" w:eastAsia="方正仿宋_GBK" w:cs="方正仿宋_GBK"/>
              </w:rPr>
              <w:t>严格实施“医疗机构执业登记”，并将审批结果向社会公开；</w:t>
            </w:r>
            <w:r>
              <w:rPr>
                <w:rFonts w:ascii="方正仿宋_GBK" w:eastAsia="方正仿宋_GBK" w:cs="方正仿宋_GBK"/>
              </w:rPr>
              <w:t>3.</w:t>
            </w:r>
            <w:r>
              <w:rPr>
                <w:rFonts w:hint="eastAsia" w:ascii="方正仿宋_GBK" w:eastAsia="方正仿宋_GBK" w:cs="方正仿宋_GBK"/>
              </w:rPr>
              <w:t>开展“双随机、一公开”监管、重点监管等，畅通投诉举报渠道，依法处理医患纠纷和医疗事故，加大对医疗机构的监督检查力度，发现违法违规行为要依法查处并向社会公开结果；</w:t>
            </w:r>
            <w:r>
              <w:rPr>
                <w:rFonts w:ascii="方正仿宋_GBK" w:eastAsia="方正仿宋_GBK" w:cs="方正仿宋_GBK"/>
              </w:rPr>
              <w:t>4.</w:t>
            </w:r>
            <w:r>
              <w:rPr>
                <w:rFonts w:hint="eastAsia" w:ascii="方正仿宋_GBK" w:eastAsia="方正仿宋_GBK" w:cs="方正仿宋_GBK"/>
              </w:rPr>
              <w:t>依法实施信用监管，如实记录违法失信行为，实施差异化监管措施，对严重违法的医疗机构及其从业人员实行行业禁入。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部分取消后，州级及以下权限调整为：三级医院、三级妇幼保健院、中外合资合作医疗机构初审转报；急救中心、急救站审批。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tabs>
          <w:tab w:val="left" w:pos="4515"/>
        </w:tabs>
        <w:jc w:val="center"/>
        <w:rPr>
          <w:rFonts w:ascii="方正小标宋简体" w:eastAsia="方正小标宋简体" w:cs="Times New Roman"/>
          <w:sz w:val="32"/>
          <w:szCs w:val="32"/>
        </w:rPr>
      </w:pPr>
      <w:bookmarkStart w:id="0" w:name="_GoBack"/>
      <w:bookmarkEnd w:id="0"/>
    </w:p>
    <w:p>
      <w:pPr>
        <w:tabs>
          <w:tab w:val="left" w:pos="4515"/>
        </w:tabs>
        <w:jc w:val="center"/>
        <w:rPr>
          <w:rFonts w:ascii="方正小标宋简体" w:eastAsia="方正小标宋简体" w:cs="Times New Roman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鹤庆县人民政府决定调整审批权限的</w:t>
      </w:r>
      <w:r>
        <w:rPr>
          <w:rFonts w:ascii="方正小标宋简体" w:eastAsia="方正小标宋简体" w:cs="方正小标宋简体"/>
          <w:sz w:val="32"/>
          <w:szCs w:val="32"/>
        </w:rPr>
        <w:t>1</w:t>
      </w:r>
      <w:r>
        <w:rPr>
          <w:rFonts w:hint="eastAsia" w:ascii="方正小标宋简体" w:eastAsia="方正小标宋简体" w:cs="方正小标宋简体"/>
          <w:sz w:val="32"/>
          <w:szCs w:val="32"/>
        </w:rPr>
        <w:t>项行政许可事项</w:t>
      </w:r>
    </w:p>
    <w:tbl>
      <w:tblPr>
        <w:tblStyle w:val="4"/>
        <w:tblW w:w="143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41"/>
        <w:gridCol w:w="1260"/>
        <w:gridCol w:w="2200"/>
        <w:gridCol w:w="2835"/>
        <w:gridCol w:w="4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方正黑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序号</w:t>
            </w:r>
          </w:p>
        </w:tc>
        <w:tc>
          <w:tcPr>
            <w:tcW w:w="2441" w:type="dxa"/>
          </w:tcPr>
          <w:p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事项名称</w:t>
            </w:r>
          </w:p>
        </w:tc>
        <w:tc>
          <w:tcPr>
            <w:tcW w:w="1260" w:type="dxa"/>
          </w:tcPr>
          <w:p>
            <w:pPr>
              <w:ind w:right="-1262" w:rightChars="-601"/>
              <w:rPr>
                <w:rFonts w:ascii="方正黑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事项类型</w:t>
            </w:r>
          </w:p>
        </w:tc>
        <w:tc>
          <w:tcPr>
            <w:tcW w:w="2200" w:type="dxa"/>
          </w:tcPr>
          <w:p>
            <w:pPr>
              <w:ind w:right="-1262" w:rightChars="-601" w:firstLine="240" w:firstLineChars="100"/>
              <w:rPr>
                <w:rFonts w:ascii="方正黑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审批实施部门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设立依据</w:t>
            </w:r>
          </w:p>
        </w:tc>
        <w:tc>
          <w:tcPr>
            <w:tcW w:w="4835" w:type="dxa"/>
          </w:tcPr>
          <w:p>
            <w:pPr>
              <w:jc w:val="center"/>
              <w:rPr>
                <w:rFonts w:ascii="方正黑体_GBK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调整权限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县级广播电视台、电视台变更台名、节目设置范围或节目套数审批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行政许可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县广播电视局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《广播电视管理条例》</w:t>
            </w:r>
          </w:p>
        </w:tc>
        <w:tc>
          <w:tcPr>
            <w:tcW w:w="4835" w:type="dxa"/>
            <w:vAlign w:val="center"/>
          </w:tcPr>
          <w:p>
            <w:pPr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国家广播电视总局下放由省广播电视总局承接。承接受后，根据《云南省人民政府关于调整</w:t>
            </w:r>
            <w:r>
              <w:rPr>
                <w:rFonts w:ascii="方正仿宋_GBK" w:eastAsia="方正仿宋_GBK" w:cs="方正仿宋_GBK"/>
              </w:rPr>
              <w:t>23</w:t>
            </w:r>
            <w:r>
              <w:rPr>
                <w:rFonts w:hint="eastAsia" w:ascii="方正仿宋_GBK" w:eastAsia="方正仿宋_GBK" w:cs="方正仿宋_GBK"/>
              </w:rPr>
              <w:t>项行政权力事项的决定》（云政发〔</w:t>
            </w:r>
            <w:r>
              <w:rPr>
                <w:rFonts w:ascii="方正仿宋_GBK" w:eastAsia="方正仿宋_GBK" w:cs="方正仿宋_GBK"/>
              </w:rPr>
              <w:t>2020</w:t>
            </w:r>
            <w:r>
              <w:rPr>
                <w:rFonts w:hint="eastAsia" w:ascii="方正仿宋_GBK" w:eastAsia="方正仿宋_GBK" w:cs="方正仿宋_GBK"/>
              </w:rPr>
              <w:t>〕</w:t>
            </w:r>
            <w:r>
              <w:rPr>
                <w:rFonts w:ascii="方正仿宋_GBK" w:eastAsia="方正仿宋_GBK" w:cs="方正仿宋_GBK"/>
              </w:rPr>
              <w:t>31</w:t>
            </w:r>
            <w:r>
              <w:rPr>
                <w:rFonts w:hint="eastAsia" w:ascii="方正仿宋_GBK" w:eastAsia="方正仿宋_GBK" w:cs="方正仿宋_GBK"/>
              </w:rPr>
              <w:t>号）要求，州级及以下权限调整为：对州级、县级广播电台、电视台变更台名、节目设置范围或节目套数的初审转报</w:t>
            </w:r>
          </w:p>
        </w:tc>
      </w:tr>
    </w:tbl>
    <w:p>
      <w:pPr>
        <w:tabs>
          <w:tab w:val="left" w:pos="5880"/>
        </w:tabs>
        <w:rPr>
          <w:rFonts w:cs="Times New Roman"/>
        </w:rPr>
      </w:pPr>
    </w:p>
    <w:sectPr>
      <w:footerReference r:id="rId3" w:type="default"/>
      <w:pgSz w:w="16838" w:h="11906" w:orient="landscape"/>
      <w:pgMar w:top="1758" w:right="1440" w:bottom="175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宋体" w:cs="Times New Roman"/>
        <w:sz w:val="28"/>
        <w:szCs w:val="28"/>
      </w:rPr>
    </w:pPr>
    <w:r>
      <w:rPr>
        <w:rStyle w:val="7"/>
        <w:rFonts w:ascii="宋体" w:hAnsi="宋体" w:cs="宋体"/>
        <w:sz w:val="28"/>
        <w:szCs w:val="28"/>
      </w:rPr>
      <w:t>—</w:t>
    </w: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2</w:t>
    </w:r>
    <w:r>
      <w:rPr>
        <w:rStyle w:val="7"/>
        <w:rFonts w:ascii="宋体" w:hAnsi="宋体" w:cs="宋体"/>
        <w:sz w:val="28"/>
        <w:szCs w:val="28"/>
      </w:rPr>
      <w:fldChar w:fldCharType="end"/>
    </w:r>
    <w:r>
      <w:rPr>
        <w:rStyle w:val="7"/>
        <w:rFonts w:ascii="宋体" w:hAnsi="宋体" w:cs="宋体"/>
        <w:sz w:val="28"/>
        <w:szCs w:val="28"/>
      </w:rPr>
      <w:t>—</w:t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AC1"/>
    <w:rsid w:val="000015EF"/>
    <w:rsid w:val="00053953"/>
    <w:rsid w:val="000A0A8E"/>
    <w:rsid w:val="000B53CD"/>
    <w:rsid w:val="000C550A"/>
    <w:rsid w:val="000E5365"/>
    <w:rsid w:val="00130289"/>
    <w:rsid w:val="00135F0A"/>
    <w:rsid w:val="00142B3E"/>
    <w:rsid w:val="0019064E"/>
    <w:rsid w:val="001C32C9"/>
    <w:rsid w:val="001E1717"/>
    <w:rsid w:val="002513D6"/>
    <w:rsid w:val="00262C65"/>
    <w:rsid w:val="002714A1"/>
    <w:rsid w:val="002F45D7"/>
    <w:rsid w:val="00313040"/>
    <w:rsid w:val="00353294"/>
    <w:rsid w:val="00380B3B"/>
    <w:rsid w:val="00391962"/>
    <w:rsid w:val="003D448B"/>
    <w:rsid w:val="00416FA6"/>
    <w:rsid w:val="00423131"/>
    <w:rsid w:val="00441DA1"/>
    <w:rsid w:val="00451C58"/>
    <w:rsid w:val="00457BDA"/>
    <w:rsid w:val="0048183F"/>
    <w:rsid w:val="00491D0F"/>
    <w:rsid w:val="00495867"/>
    <w:rsid w:val="004A2679"/>
    <w:rsid w:val="004D5A74"/>
    <w:rsid w:val="00510992"/>
    <w:rsid w:val="00531E27"/>
    <w:rsid w:val="005B5BF2"/>
    <w:rsid w:val="005C436B"/>
    <w:rsid w:val="005C7EB1"/>
    <w:rsid w:val="005D1DE6"/>
    <w:rsid w:val="0061540D"/>
    <w:rsid w:val="006800A6"/>
    <w:rsid w:val="0068352C"/>
    <w:rsid w:val="006A1A98"/>
    <w:rsid w:val="006A5AD8"/>
    <w:rsid w:val="006F15C4"/>
    <w:rsid w:val="00705EA7"/>
    <w:rsid w:val="007065E6"/>
    <w:rsid w:val="00724A9D"/>
    <w:rsid w:val="0072550A"/>
    <w:rsid w:val="00727F6D"/>
    <w:rsid w:val="00764561"/>
    <w:rsid w:val="0077508F"/>
    <w:rsid w:val="007B5E8F"/>
    <w:rsid w:val="00800650"/>
    <w:rsid w:val="0088278B"/>
    <w:rsid w:val="00886C63"/>
    <w:rsid w:val="00930DBB"/>
    <w:rsid w:val="00942AC1"/>
    <w:rsid w:val="009579D8"/>
    <w:rsid w:val="009A4A51"/>
    <w:rsid w:val="00A46388"/>
    <w:rsid w:val="00A66A9F"/>
    <w:rsid w:val="00AC06CF"/>
    <w:rsid w:val="00AC4D41"/>
    <w:rsid w:val="00B56D95"/>
    <w:rsid w:val="00B82EFA"/>
    <w:rsid w:val="00C25638"/>
    <w:rsid w:val="00C95A15"/>
    <w:rsid w:val="00CB1E0D"/>
    <w:rsid w:val="00CC7237"/>
    <w:rsid w:val="00CD39B0"/>
    <w:rsid w:val="00CD770F"/>
    <w:rsid w:val="00CE028E"/>
    <w:rsid w:val="00CE6851"/>
    <w:rsid w:val="00CF28E7"/>
    <w:rsid w:val="00D27147"/>
    <w:rsid w:val="00D32DF3"/>
    <w:rsid w:val="00D45DEC"/>
    <w:rsid w:val="00D61727"/>
    <w:rsid w:val="00D648CB"/>
    <w:rsid w:val="00D71906"/>
    <w:rsid w:val="00D80A43"/>
    <w:rsid w:val="00DC4848"/>
    <w:rsid w:val="00E015B1"/>
    <w:rsid w:val="00E41BBA"/>
    <w:rsid w:val="00E512F6"/>
    <w:rsid w:val="00E65CC4"/>
    <w:rsid w:val="00E946EF"/>
    <w:rsid w:val="00EB7622"/>
    <w:rsid w:val="00EC5C1C"/>
    <w:rsid w:val="00F0175D"/>
    <w:rsid w:val="00F33557"/>
    <w:rsid w:val="00F638CC"/>
    <w:rsid w:val="00F77335"/>
    <w:rsid w:val="00FB6545"/>
    <w:rsid w:val="00FC0BE0"/>
    <w:rsid w:val="00FD109F"/>
    <w:rsid w:val="057B38F7"/>
    <w:rsid w:val="4E81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99"/>
  </w:style>
  <w:style w:type="character" w:customStyle="1" w:styleId="8">
    <w:name w:val="Header Char"/>
    <w:basedOn w:val="6"/>
    <w:link w:val="3"/>
    <w:semiHidden/>
    <w:locked/>
    <w:uiPriority w:val="99"/>
    <w:rPr>
      <w:sz w:val="18"/>
      <w:szCs w:val="18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190</Words>
  <Characters>1087</Characters>
  <Lines>0</Lines>
  <Paragraphs>0</Paragraphs>
  <TotalTime>371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2020-12-03T03:07:00Z</dcterms:created>
  <dc:creator>微软用户</dc:creator>
  <cp:lastModifiedBy>杨骏腾</cp:lastModifiedBy>
  <cp:lastPrinted>2019-02-27T08:13:00Z</cp:lastPrinted>
  <dcterms:modified xsi:type="dcterms:W3CDTF">2021-01-05T02:14:32Z</dcterms:modified>
  <dc:title>附 件：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